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27D3" w14:textId="3D5D24D1" w:rsidR="00301590" w:rsidRPr="00E63478" w:rsidRDefault="00E63478" w:rsidP="00E63478">
      <w:pPr>
        <w:pStyle w:val="Heading1"/>
        <w:rPr>
          <w:rFonts w:cs="Arial"/>
          <w:b w:val="0"/>
          <w:bCs/>
          <w:szCs w:val="36"/>
          <w:lang w:val="en"/>
        </w:rPr>
      </w:pPr>
      <w:r w:rsidRPr="00E63478">
        <w:rPr>
          <w:rFonts w:cs="Arial"/>
          <w:bCs/>
          <w:szCs w:val="36"/>
          <w:lang w:val="en"/>
        </w:rPr>
        <w:t>Vocational Rehabilitation Services Manual B-300: Determining Eligibility</w:t>
      </w:r>
    </w:p>
    <w:p w14:paraId="7D76B7A2" w14:textId="63507910" w:rsidR="00E63478" w:rsidRPr="00E63478" w:rsidRDefault="00E63478">
      <w:pPr>
        <w:rPr>
          <w:rFonts w:cs="Arial"/>
          <w:szCs w:val="24"/>
          <w:lang w:val="en"/>
        </w:rPr>
      </w:pPr>
      <w:r w:rsidRPr="00E63478">
        <w:rPr>
          <w:rFonts w:cs="Arial"/>
          <w:szCs w:val="24"/>
          <w:lang w:val="en"/>
        </w:rPr>
        <w:t xml:space="preserve">Revised </w:t>
      </w:r>
      <w:r w:rsidR="00A323AB">
        <w:rPr>
          <w:rFonts w:cs="Arial"/>
          <w:szCs w:val="24"/>
          <w:lang w:val="en"/>
        </w:rPr>
        <w:t>June</w:t>
      </w:r>
      <w:r w:rsidR="00145398">
        <w:rPr>
          <w:rFonts w:cs="Arial"/>
          <w:szCs w:val="24"/>
          <w:lang w:val="en"/>
        </w:rPr>
        <w:t xml:space="preserve"> 26</w:t>
      </w:r>
      <w:r w:rsidRPr="00E63478">
        <w:rPr>
          <w:rFonts w:cs="Arial"/>
          <w:szCs w:val="24"/>
          <w:lang w:val="en"/>
        </w:rPr>
        <w:t>, 202</w:t>
      </w:r>
      <w:r w:rsidR="00A323AB">
        <w:rPr>
          <w:rFonts w:cs="Arial"/>
          <w:szCs w:val="24"/>
          <w:lang w:val="en"/>
        </w:rPr>
        <w:t>3</w:t>
      </w:r>
    </w:p>
    <w:p w14:paraId="4862879F" w14:textId="1CFDCD31" w:rsidR="00A323AB" w:rsidRPr="00A323AB" w:rsidRDefault="00A323AB" w:rsidP="006F5BAA">
      <w:pPr>
        <w:pStyle w:val="Heading2"/>
        <w:rPr>
          <w:rFonts w:eastAsia="Times New Roman"/>
        </w:rPr>
      </w:pPr>
      <w:r>
        <w:rPr>
          <w:rFonts w:eastAsia="Times New Roman"/>
        </w:rPr>
        <w:t>B</w:t>
      </w:r>
      <w:r w:rsidRPr="00A323AB">
        <w:rPr>
          <w:rFonts w:eastAsia="Times New Roman"/>
        </w:rPr>
        <w:t>-308: Assessments</w:t>
      </w:r>
    </w:p>
    <w:p w14:paraId="2DA0D08E" w14:textId="075D2FC2" w:rsidR="00A323AB" w:rsidRPr="00A323AB" w:rsidRDefault="00A323AB" w:rsidP="00A323AB">
      <w:pPr>
        <w:shd w:val="clear" w:color="auto" w:fill="FFFFFF"/>
        <w:spacing w:before="0" w:beforeAutospacing="0" w:after="360" w:afterAutospacing="0" w:line="293" w:lineRule="atLeast"/>
        <w:rPr>
          <w:rFonts w:eastAsia="Times New Roman" w:cs="Arial"/>
          <w:b/>
          <w:bCs/>
          <w:color w:val="000000"/>
          <w:szCs w:val="24"/>
        </w:rPr>
      </w:pPr>
      <w:r w:rsidRPr="006F5BAA">
        <w:rPr>
          <w:rFonts w:eastAsia="Times New Roman" w:cs="Arial"/>
          <w:b/>
          <w:bCs/>
          <w:color w:val="000000"/>
          <w:szCs w:val="24"/>
        </w:rPr>
        <w:t>…</w:t>
      </w:r>
    </w:p>
    <w:p w14:paraId="0D6DADE8" w14:textId="77777777" w:rsidR="00A323AB" w:rsidRPr="00A323AB" w:rsidRDefault="00A323AB" w:rsidP="006F5BAA">
      <w:pPr>
        <w:pStyle w:val="Heading3"/>
        <w:rPr>
          <w:rFonts w:eastAsia="Times New Roman"/>
        </w:rPr>
      </w:pPr>
      <w:r w:rsidRPr="00A323AB">
        <w:rPr>
          <w:rFonts w:eastAsia="Times New Roman"/>
        </w:rPr>
        <w:t>B-308-3: Selecting a Disability Classification</w:t>
      </w:r>
    </w:p>
    <w:p w14:paraId="43B55A59" w14:textId="025643DA" w:rsidR="00A323AB" w:rsidRPr="00A323AB" w:rsidRDefault="00A323AB" w:rsidP="00A323AB">
      <w:pPr>
        <w:shd w:val="clear" w:color="auto" w:fill="FFFFFF"/>
        <w:spacing w:before="0" w:beforeAutospacing="0" w:after="360" w:afterAutospacing="0" w:line="293" w:lineRule="atLeast"/>
        <w:rPr>
          <w:rFonts w:eastAsia="Times New Roman" w:cs="Arial"/>
          <w:color w:val="000000"/>
          <w:szCs w:val="24"/>
        </w:rPr>
      </w:pPr>
      <w:r w:rsidRPr="00A323AB">
        <w:rPr>
          <w:rFonts w:eastAsia="Times New Roman" w:cs="Arial"/>
          <w:color w:val="000000"/>
          <w:szCs w:val="24"/>
        </w:rPr>
        <w:t xml:space="preserve">Disabling conditions are classified according to a structure that combines an impairment with a specific cause or source. Using prescribed categories, select the impairment and then the cause or source that best describes the customer's primary disability that results in a substantial impediment to employment in </w:t>
      </w:r>
      <w:ins w:id="0" w:author="Author">
        <w:r w:rsidR="00137846">
          <w:rPr>
            <w:rFonts w:eastAsia="Times New Roman" w:cs="Arial"/>
            <w:color w:val="000000"/>
            <w:szCs w:val="24"/>
          </w:rPr>
          <w:t>V</w:t>
        </w:r>
      </w:ins>
      <w:del w:id="1" w:author="Author">
        <w:r w:rsidRPr="00A323AB" w:rsidDel="00137846">
          <w:rPr>
            <w:rFonts w:eastAsia="Times New Roman" w:cs="Arial"/>
            <w:color w:val="000000"/>
            <w:szCs w:val="24"/>
          </w:rPr>
          <w:delText>v</w:delText>
        </w:r>
      </w:del>
      <w:r w:rsidRPr="00A323AB">
        <w:rPr>
          <w:rFonts w:eastAsia="Times New Roman" w:cs="Arial"/>
          <w:color w:val="000000"/>
          <w:szCs w:val="24"/>
        </w:rPr>
        <w:t xml:space="preserve">ocational </w:t>
      </w:r>
      <w:ins w:id="2" w:author="Author">
        <w:r w:rsidR="00137846">
          <w:rPr>
            <w:rFonts w:eastAsia="Times New Roman" w:cs="Arial"/>
            <w:color w:val="000000"/>
            <w:szCs w:val="24"/>
          </w:rPr>
          <w:t>R</w:t>
        </w:r>
      </w:ins>
      <w:del w:id="3" w:author="Author">
        <w:r w:rsidRPr="00A323AB" w:rsidDel="00137846">
          <w:rPr>
            <w:rFonts w:eastAsia="Times New Roman" w:cs="Arial"/>
            <w:color w:val="000000"/>
            <w:szCs w:val="24"/>
          </w:rPr>
          <w:delText>r</w:delText>
        </w:r>
      </w:del>
      <w:r w:rsidRPr="00A323AB">
        <w:rPr>
          <w:rFonts w:eastAsia="Times New Roman" w:cs="Arial"/>
          <w:color w:val="000000"/>
          <w:szCs w:val="24"/>
        </w:rPr>
        <w:t>ehabilitation (VR).</w:t>
      </w:r>
    </w:p>
    <w:p w14:paraId="1F57E399" w14:textId="523332FF" w:rsidR="00A323AB" w:rsidRPr="00A323AB" w:rsidRDefault="00A323AB" w:rsidP="00A323AB">
      <w:pPr>
        <w:shd w:val="clear" w:color="auto" w:fill="FFFFFF"/>
        <w:spacing w:before="0" w:beforeAutospacing="0" w:after="360" w:afterAutospacing="0" w:line="293" w:lineRule="atLeast"/>
        <w:rPr>
          <w:rFonts w:eastAsia="Times New Roman" w:cs="Arial"/>
          <w:color w:val="000000"/>
          <w:szCs w:val="24"/>
        </w:rPr>
      </w:pPr>
      <w:r w:rsidRPr="00A323AB">
        <w:rPr>
          <w:rFonts w:eastAsia="Times New Roman" w:cs="Arial"/>
          <w:color w:val="000000"/>
          <w:szCs w:val="24"/>
        </w:rPr>
        <w:t>Complete the following steps to select the disability code</w:t>
      </w:r>
      <w:ins w:id="4" w:author="Author">
        <w:r w:rsidR="00196D45" w:rsidRPr="00196D45">
          <w:t xml:space="preserve"> </w:t>
        </w:r>
        <w:r w:rsidR="00196D45" w:rsidRPr="00196D45">
          <w:rPr>
            <w:rFonts w:eastAsia="Times New Roman" w:cs="Arial"/>
            <w:color w:val="000000"/>
            <w:szCs w:val="24"/>
          </w:rPr>
          <w:t xml:space="preserve">on the </w:t>
        </w:r>
        <w:proofErr w:type="spellStart"/>
        <w:r w:rsidR="00196D45" w:rsidRPr="00196D45">
          <w:rPr>
            <w:rFonts w:eastAsia="Times New Roman" w:cs="Arial"/>
            <w:color w:val="000000"/>
            <w:szCs w:val="24"/>
          </w:rPr>
          <w:t>ReHabWorks</w:t>
        </w:r>
        <w:proofErr w:type="spellEnd"/>
        <w:r w:rsidR="00196D45" w:rsidRPr="00196D45">
          <w:rPr>
            <w:rFonts w:eastAsia="Times New Roman" w:cs="Arial"/>
            <w:color w:val="000000"/>
            <w:szCs w:val="24"/>
          </w:rPr>
          <w:t xml:space="preserve"> (RHW) Disability</w:t>
        </w:r>
        <w:r w:rsidR="00B80810">
          <w:rPr>
            <w:rFonts w:eastAsia="Times New Roman" w:cs="Arial"/>
            <w:color w:val="000000"/>
            <w:szCs w:val="24"/>
          </w:rPr>
          <w:t xml:space="preserve"> Information</w:t>
        </w:r>
        <w:r w:rsidR="00196D45" w:rsidRPr="00196D45">
          <w:rPr>
            <w:rFonts w:eastAsia="Times New Roman" w:cs="Arial"/>
            <w:color w:val="000000"/>
            <w:szCs w:val="24"/>
          </w:rPr>
          <w:t xml:space="preserve"> page</w:t>
        </w:r>
      </w:ins>
      <w:r w:rsidRPr="00A323AB">
        <w:rPr>
          <w:rFonts w:eastAsia="Times New Roman" w:cs="Arial"/>
          <w:color w:val="000000"/>
          <w:szCs w:val="24"/>
        </w:rPr>
        <w:t>:</w:t>
      </w:r>
    </w:p>
    <w:p w14:paraId="09C32134" w14:textId="77777777" w:rsidR="00A323AB" w:rsidRPr="00A323AB" w:rsidRDefault="00A323AB" w:rsidP="00A323AB">
      <w:pPr>
        <w:numPr>
          <w:ilvl w:val="0"/>
          <w:numId w:val="17"/>
        </w:numPr>
        <w:shd w:val="clear" w:color="auto" w:fill="FFFFFF"/>
        <w:spacing w:before="0" w:beforeAutospacing="0" w:after="0" w:afterAutospacing="0" w:line="293" w:lineRule="atLeast"/>
        <w:ind w:left="1170" w:right="360"/>
        <w:rPr>
          <w:rFonts w:eastAsia="Times New Roman" w:cs="Arial"/>
          <w:color w:val="000000"/>
          <w:szCs w:val="24"/>
        </w:rPr>
      </w:pPr>
      <w:r w:rsidRPr="00A323AB">
        <w:rPr>
          <w:rFonts w:eastAsia="Times New Roman" w:cs="Arial"/>
          <w:color w:val="000000"/>
          <w:szCs w:val="24"/>
        </w:rPr>
        <w:t>Select the impairment category that best identifies the disability from the following:</w:t>
      </w:r>
    </w:p>
    <w:p w14:paraId="1DDD7959" w14:textId="77777777" w:rsidR="00A323AB" w:rsidRPr="00A323AB" w:rsidRDefault="00A323AB" w:rsidP="00A323AB">
      <w:pPr>
        <w:numPr>
          <w:ilvl w:val="1"/>
          <w:numId w:val="17"/>
        </w:numPr>
        <w:shd w:val="clear" w:color="auto" w:fill="FFFFFF"/>
        <w:spacing w:before="0" w:beforeAutospacing="0" w:after="0" w:afterAutospacing="0" w:line="293" w:lineRule="atLeast"/>
        <w:ind w:left="2250" w:right="720"/>
        <w:rPr>
          <w:rFonts w:eastAsia="Times New Roman" w:cs="Arial"/>
          <w:color w:val="000000"/>
          <w:szCs w:val="24"/>
        </w:rPr>
      </w:pPr>
      <w:r w:rsidRPr="00A323AB">
        <w:rPr>
          <w:rFonts w:eastAsia="Times New Roman" w:cs="Arial"/>
          <w:color w:val="000000"/>
          <w:szCs w:val="24"/>
        </w:rPr>
        <w:t>Blind Sensory</w:t>
      </w:r>
    </w:p>
    <w:p w14:paraId="5484FA50" w14:textId="77777777" w:rsidR="00A323AB" w:rsidRPr="00A323AB" w:rsidRDefault="00A323AB" w:rsidP="00A323AB">
      <w:pPr>
        <w:numPr>
          <w:ilvl w:val="1"/>
          <w:numId w:val="17"/>
        </w:numPr>
        <w:shd w:val="clear" w:color="auto" w:fill="FFFFFF"/>
        <w:spacing w:before="0" w:beforeAutospacing="0" w:after="0" w:afterAutospacing="0" w:line="293" w:lineRule="atLeast"/>
        <w:ind w:left="2250" w:right="720"/>
        <w:rPr>
          <w:rFonts w:eastAsia="Times New Roman" w:cs="Arial"/>
          <w:color w:val="000000"/>
          <w:szCs w:val="24"/>
        </w:rPr>
      </w:pPr>
      <w:r w:rsidRPr="00A323AB">
        <w:rPr>
          <w:rFonts w:eastAsia="Times New Roman" w:cs="Arial"/>
          <w:color w:val="000000"/>
          <w:szCs w:val="24"/>
        </w:rPr>
        <w:t>Sensory-communicative</w:t>
      </w:r>
    </w:p>
    <w:p w14:paraId="0C83A4A2" w14:textId="77777777" w:rsidR="00A323AB" w:rsidRPr="00A323AB" w:rsidRDefault="00A323AB" w:rsidP="00A323AB">
      <w:pPr>
        <w:numPr>
          <w:ilvl w:val="1"/>
          <w:numId w:val="17"/>
        </w:numPr>
        <w:shd w:val="clear" w:color="auto" w:fill="FFFFFF"/>
        <w:spacing w:before="0" w:beforeAutospacing="0" w:after="0" w:afterAutospacing="0" w:line="293" w:lineRule="atLeast"/>
        <w:ind w:left="2250" w:right="720"/>
        <w:rPr>
          <w:rFonts w:eastAsia="Times New Roman" w:cs="Arial"/>
          <w:color w:val="000000"/>
          <w:szCs w:val="24"/>
        </w:rPr>
      </w:pPr>
      <w:r w:rsidRPr="00A323AB">
        <w:rPr>
          <w:rFonts w:eastAsia="Times New Roman" w:cs="Arial"/>
          <w:color w:val="000000"/>
          <w:szCs w:val="24"/>
        </w:rPr>
        <w:t>Physical</w:t>
      </w:r>
    </w:p>
    <w:p w14:paraId="314F9EF6" w14:textId="77777777" w:rsidR="00A323AB" w:rsidRDefault="00A323AB" w:rsidP="00A323AB">
      <w:pPr>
        <w:numPr>
          <w:ilvl w:val="1"/>
          <w:numId w:val="17"/>
        </w:numPr>
        <w:shd w:val="clear" w:color="auto" w:fill="FFFFFF"/>
        <w:spacing w:before="0" w:beforeAutospacing="0" w:after="0" w:afterAutospacing="0" w:line="293" w:lineRule="atLeast"/>
        <w:ind w:left="2250" w:right="720"/>
        <w:rPr>
          <w:rFonts w:eastAsia="Times New Roman" w:cs="Arial"/>
          <w:color w:val="000000"/>
          <w:szCs w:val="24"/>
        </w:rPr>
      </w:pPr>
      <w:r w:rsidRPr="00A323AB">
        <w:rPr>
          <w:rFonts w:eastAsia="Times New Roman" w:cs="Arial"/>
          <w:color w:val="000000"/>
          <w:szCs w:val="24"/>
        </w:rPr>
        <w:t>Mental</w:t>
      </w:r>
    </w:p>
    <w:p w14:paraId="76E3A2B4" w14:textId="77777777" w:rsidR="00C95F2A" w:rsidRPr="00A323AB" w:rsidRDefault="00C95F2A" w:rsidP="00C95F2A">
      <w:pPr>
        <w:shd w:val="clear" w:color="auto" w:fill="FFFFFF"/>
        <w:spacing w:before="0" w:beforeAutospacing="0" w:after="0" w:afterAutospacing="0" w:line="293" w:lineRule="atLeast"/>
        <w:ind w:left="2250" w:right="720"/>
        <w:rPr>
          <w:rFonts w:eastAsia="Times New Roman" w:cs="Arial"/>
          <w:color w:val="000000"/>
          <w:szCs w:val="24"/>
        </w:rPr>
      </w:pPr>
    </w:p>
    <w:p w14:paraId="5692217A" w14:textId="77777777" w:rsidR="00A323AB" w:rsidRPr="00A323AB" w:rsidRDefault="00A323AB" w:rsidP="00A323AB">
      <w:pPr>
        <w:numPr>
          <w:ilvl w:val="0"/>
          <w:numId w:val="17"/>
        </w:numPr>
        <w:shd w:val="clear" w:color="auto" w:fill="FFFFFF"/>
        <w:spacing w:before="0" w:beforeAutospacing="0" w:after="0" w:afterAutospacing="0" w:line="293" w:lineRule="atLeast"/>
        <w:ind w:left="1170" w:right="360"/>
        <w:rPr>
          <w:rFonts w:eastAsia="Times New Roman" w:cs="Arial"/>
          <w:color w:val="000000"/>
          <w:szCs w:val="24"/>
        </w:rPr>
      </w:pPr>
      <w:r w:rsidRPr="00A323AB">
        <w:rPr>
          <w:rFonts w:eastAsia="Times New Roman" w:cs="Arial"/>
          <w:color w:val="000000"/>
          <w:szCs w:val="24"/>
        </w:rPr>
        <w:t>Select the impairment subcategory within the table, such as:</w:t>
      </w:r>
    </w:p>
    <w:p w14:paraId="3F1B248E" w14:textId="77777777" w:rsidR="00A323AB" w:rsidRPr="00A323AB" w:rsidRDefault="00A323AB" w:rsidP="00A323AB">
      <w:pPr>
        <w:numPr>
          <w:ilvl w:val="1"/>
          <w:numId w:val="17"/>
        </w:numPr>
        <w:shd w:val="clear" w:color="auto" w:fill="FFFFFF"/>
        <w:spacing w:before="0" w:beforeAutospacing="0" w:after="0" w:afterAutospacing="0" w:line="293" w:lineRule="atLeast"/>
        <w:ind w:left="2250" w:right="720"/>
        <w:rPr>
          <w:rFonts w:eastAsia="Times New Roman" w:cs="Arial"/>
          <w:color w:val="000000"/>
          <w:szCs w:val="24"/>
        </w:rPr>
      </w:pPr>
      <w:r w:rsidRPr="00A323AB">
        <w:rPr>
          <w:rFonts w:eastAsia="Times New Roman" w:cs="Arial"/>
          <w:color w:val="000000"/>
          <w:szCs w:val="24"/>
        </w:rPr>
        <w:t xml:space="preserve">deafness, primary communication </w:t>
      </w:r>
      <w:proofErr w:type="gramStart"/>
      <w:r w:rsidRPr="00A323AB">
        <w:rPr>
          <w:rFonts w:eastAsia="Times New Roman" w:cs="Arial"/>
          <w:color w:val="000000"/>
          <w:szCs w:val="24"/>
        </w:rPr>
        <w:t>visual;</w:t>
      </w:r>
      <w:proofErr w:type="gramEnd"/>
    </w:p>
    <w:p w14:paraId="0F563042" w14:textId="77777777" w:rsidR="00A323AB" w:rsidRPr="00A323AB" w:rsidRDefault="00A323AB" w:rsidP="00A323AB">
      <w:pPr>
        <w:numPr>
          <w:ilvl w:val="1"/>
          <w:numId w:val="17"/>
        </w:numPr>
        <w:shd w:val="clear" w:color="auto" w:fill="FFFFFF"/>
        <w:spacing w:before="0" w:beforeAutospacing="0" w:after="0" w:afterAutospacing="0" w:line="293" w:lineRule="atLeast"/>
        <w:ind w:left="2250" w:right="720"/>
        <w:rPr>
          <w:rFonts w:eastAsia="Times New Roman" w:cs="Arial"/>
          <w:color w:val="000000"/>
          <w:szCs w:val="24"/>
        </w:rPr>
      </w:pPr>
      <w:r w:rsidRPr="00A323AB">
        <w:rPr>
          <w:rFonts w:eastAsia="Times New Roman" w:cs="Arial"/>
          <w:color w:val="000000"/>
          <w:szCs w:val="24"/>
        </w:rPr>
        <w:t>respiratory; or</w:t>
      </w:r>
    </w:p>
    <w:p w14:paraId="78861131" w14:textId="75149136" w:rsidR="00A323AB" w:rsidRDefault="00A323AB" w:rsidP="00A323AB">
      <w:pPr>
        <w:numPr>
          <w:ilvl w:val="1"/>
          <w:numId w:val="17"/>
        </w:numPr>
        <w:shd w:val="clear" w:color="auto" w:fill="FFFFFF"/>
        <w:spacing w:before="0" w:beforeAutospacing="0" w:after="0" w:afterAutospacing="0" w:line="293" w:lineRule="atLeast"/>
        <w:ind w:left="2250" w:right="720"/>
        <w:rPr>
          <w:rFonts w:eastAsia="Times New Roman" w:cs="Arial"/>
          <w:color w:val="000000"/>
          <w:szCs w:val="24"/>
        </w:rPr>
      </w:pPr>
      <w:r w:rsidRPr="00A323AB">
        <w:rPr>
          <w:rFonts w:eastAsia="Times New Roman" w:cs="Arial"/>
          <w:color w:val="000000"/>
          <w:szCs w:val="24"/>
        </w:rPr>
        <w:t>cognitive</w:t>
      </w:r>
      <w:ins w:id="5" w:author="Author">
        <w:r w:rsidR="00905468">
          <w:rPr>
            <w:rFonts w:eastAsia="Times New Roman" w:cs="Arial"/>
            <w:color w:val="000000"/>
            <w:szCs w:val="24"/>
          </w:rPr>
          <w:t>.</w:t>
        </w:r>
      </w:ins>
      <w:del w:id="6" w:author="Author">
        <w:r w:rsidRPr="00A323AB" w:rsidDel="00905468">
          <w:rPr>
            <w:rFonts w:eastAsia="Times New Roman" w:cs="Arial"/>
            <w:color w:val="000000"/>
            <w:szCs w:val="24"/>
          </w:rPr>
          <w:delText>; and</w:delText>
        </w:r>
      </w:del>
    </w:p>
    <w:p w14:paraId="2B555297" w14:textId="77777777" w:rsidR="00C95F2A" w:rsidRPr="00A323AB" w:rsidRDefault="00C95F2A" w:rsidP="00C95F2A">
      <w:pPr>
        <w:shd w:val="clear" w:color="auto" w:fill="FFFFFF"/>
        <w:spacing w:before="0" w:beforeAutospacing="0" w:after="0" w:afterAutospacing="0" w:line="293" w:lineRule="atLeast"/>
        <w:ind w:left="2250" w:right="720"/>
        <w:rPr>
          <w:rFonts w:eastAsia="Times New Roman" w:cs="Arial"/>
          <w:color w:val="000000"/>
          <w:szCs w:val="24"/>
        </w:rPr>
      </w:pPr>
    </w:p>
    <w:p w14:paraId="4A4E6E00" w14:textId="77777777" w:rsidR="00A323AB" w:rsidRPr="00A323AB" w:rsidRDefault="00A323AB" w:rsidP="00A323AB">
      <w:pPr>
        <w:numPr>
          <w:ilvl w:val="0"/>
          <w:numId w:val="17"/>
        </w:numPr>
        <w:shd w:val="clear" w:color="auto" w:fill="FFFFFF"/>
        <w:spacing w:before="0" w:beforeAutospacing="0" w:after="0" w:afterAutospacing="0" w:line="293" w:lineRule="atLeast"/>
        <w:ind w:left="1170" w:right="360"/>
        <w:rPr>
          <w:rFonts w:eastAsia="Times New Roman" w:cs="Arial"/>
          <w:color w:val="000000"/>
          <w:szCs w:val="24"/>
        </w:rPr>
      </w:pPr>
      <w:r w:rsidRPr="00A323AB">
        <w:rPr>
          <w:rFonts w:eastAsia="Times New Roman" w:cs="Arial"/>
          <w:color w:val="000000"/>
          <w:szCs w:val="24"/>
        </w:rPr>
        <w:t>Select the specific cause or source of the disabling condition, such as:</w:t>
      </w:r>
    </w:p>
    <w:p w14:paraId="3DDED0BD" w14:textId="4803CDBB" w:rsidR="00A323AB" w:rsidRPr="00A323AB" w:rsidRDefault="00A323AB" w:rsidP="00A323AB">
      <w:pPr>
        <w:numPr>
          <w:ilvl w:val="1"/>
          <w:numId w:val="17"/>
        </w:numPr>
        <w:shd w:val="clear" w:color="auto" w:fill="FFFFFF"/>
        <w:spacing w:before="0" w:beforeAutospacing="0" w:after="0" w:afterAutospacing="0" w:line="293" w:lineRule="atLeast"/>
        <w:ind w:left="2250" w:right="720"/>
        <w:rPr>
          <w:rFonts w:eastAsia="Times New Roman" w:cs="Arial"/>
          <w:color w:val="000000"/>
          <w:szCs w:val="24"/>
        </w:rPr>
      </w:pPr>
      <w:r w:rsidRPr="00A323AB">
        <w:rPr>
          <w:rFonts w:eastAsia="Times New Roman" w:cs="Arial"/>
          <w:color w:val="000000"/>
          <w:szCs w:val="24"/>
        </w:rPr>
        <w:t>cause unknown</w:t>
      </w:r>
      <w:ins w:id="7" w:author="Author">
        <w:r w:rsidR="00AD0887">
          <w:rPr>
            <w:rFonts w:eastAsia="Times New Roman" w:cs="Arial"/>
            <w:color w:val="000000"/>
            <w:szCs w:val="24"/>
          </w:rPr>
          <w:t>;</w:t>
        </w:r>
      </w:ins>
      <w:del w:id="8" w:author="Author">
        <w:r w:rsidRPr="00A323AB" w:rsidDel="00AD0887">
          <w:rPr>
            <w:rFonts w:eastAsia="Times New Roman" w:cs="Arial"/>
            <w:color w:val="000000"/>
            <w:szCs w:val="24"/>
          </w:rPr>
          <w:delText>,</w:delText>
        </w:r>
      </w:del>
    </w:p>
    <w:p w14:paraId="27FABB3A" w14:textId="15794B2C" w:rsidR="00A323AB" w:rsidRPr="00A323AB" w:rsidRDefault="00A323AB" w:rsidP="00A323AB">
      <w:pPr>
        <w:numPr>
          <w:ilvl w:val="1"/>
          <w:numId w:val="17"/>
        </w:numPr>
        <w:shd w:val="clear" w:color="auto" w:fill="FFFFFF"/>
        <w:spacing w:before="0" w:beforeAutospacing="0" w:after="0" w:afterAutospacing="0" w:line="293" w:lineRule="atLeast"/>
        <w:ind w:left="2250" w:right="720"/>
        <w:rPr>
          <w:rFonts w:eastAsia="Times New Roman" w:cs="Arial"/>
          <w:color w:val="000000"/>
          <w:szCs w:val="24"/>
        </w:rPr>
      </w:pPr>
      <w:r w:rsidRPr="00A323AB">
        <w:rPr>
          <w:rFonts w:eastAsia="Times New Roman" w:cs="Arial"/>
          <w:color w:val="000000"/>
          <w:szCs w:val="24"/>
        </w:rPr>
        <w:t>amputation</w:t>
      </w:r>
      <w:ins w:id="9" w:author="Author">
        <w:r w:rsidR="00AD0887">
          <w:rPr>
            <w:rFonts w:eastAsia="Times New Roman" w:cs="Arial"/>
            <w:color w:val="000000"/>
            <w:szCs w:val="24"/>
          </w:rPr>
          <w:t>;</w:t>
        </w:r>
      </w:ins>
      <w:del w:id="10" w:author="Author">
        <w:r w:rsidRPr="00A323AB" w:rsidDel="00AD0887">
          <w:rPr>
            <w:rFonts w:eastAsia="Times New Roman" w:cs="Arial"/>
            <w:color w:val="000000"/>
            <w:szCs w:val="24"/>
          </w:rPr>
          <w:delText>,</w:delText>
        </w:r>
      </w:del>
    </w:p>
    <w:p w14:paraId="58ED6E5F" w14:textId="6E6F237B" w:rsidR="00A323AB" w:rsidRPr="00A323AB" w:rsidRDefault="00A323AB" w:rsidP="00A323AB">
      <w:pPr>
        <w:numPr>
          <w:ilvl w:val="1"/>
          <w:numId w:val="17"/>
        </w:numPr>
        <w:shd w:val="clear" w:color="auto" w:fill="FFFFFF"/>
        <w:spacing w:before="0" w:beforeAutospacing="0" w:after="0" w:afterAutospacing="0" w:line="293" w:lineRule="atLeast"/>
        <w:ind w:left="2250" w:right="720"/>
        <w:rPr>
          <w:rFonts w:eastAsia="Times New Roman" w:cs="Arial"/>
          <w:color w:val="000000"/>
          <w:szCs w:val="24"/>
        </w:rPr>
      </w:pPr>
      <w:r w:rsidRPr="00A323AB">
        <w:rPr>
          <w:rFonts w:eastAsia="Times New Roman" w:cs="Arial"/>
          <w:color w:val="000000"/>
          <w:szCs w:val="24"/>
        </w:rPr>
        <w:t>congenital conditions or birth injury</w:t>
      </w:r>
      <w:ins w:id="11" w:author="Author">
        <w:r w:rsidR="00AD0887">
          <w:rPr>
            <w:rFonts w:eastAsia="Times New Roman" w:cs="Arial"/>
            <w:color w:val="000000"/>
            <w:szCs w:val="24"/>
          </w:rPr>
          <w:t>;</w:t>
        </w:r>
      </w:ins>
      <w:del w:id="12" w:author="Author">
        <w:r w:rsidRPr="00A323AB" w:rsidDel="00AD0887">
          <w:rPr>
            <w:rFonts w:eastAsia="Times New Roman" w:cs="Arial"/>
            <w:color w:val="000000"/>
            <w:szCs w:val="24"/>
          </w:rPr>
          <w:delText>,</w:delText>
        </w:r>
      </w:del>
      <w:r w:rsidRPr="00A323AB">
        <w:rPr>
          <w:rFonts w:eastAsia="Times New Roman" w:cs="Arial"/>
          <w:color w:val="000000"/>
          <w:szCs w:val="24"/>
        </w:rPr>
        <w:t xml:space="preserve"> or</w:t>
      </w:r>
    </w:p>
    <w:p w14:paraId="27B0053C" w14:textId="77777777" w:rsidR="00A323AB" w:rsidRDefault="00A323AB" w:rsidP="00A323AB">
      <w:pPr>
        <w:numPr>
          <w:ilvl w:val="1"/>
          <w:numId w:val="17"/>
        </w:numPr>
        <w:shd w:val="clear" w:color="auto" w:fill="FFFFFF"/>
        <w:spacing w:before="0" w:beforeAutospacing="0" w:after="0" w:afterAutospacing="0" w:line="293" w:lineRule="atLeast"/>
        <w:ind w:left="2250" w:right="720"/>
        <w:rPr>
          <w:rFonts w:eastAsia="Times New Roman" w:cs="Arial"/>
          <w:color w:val="000000"/>
          <w:szCs w:val="24"/>
        </w:rPr>
      </w:pPr>
      <w:r w:rsidRPr="00A323AB">
        <w:rPr>
          <w:rFonts w:eastAsia="Times New Roman" w:cs="Arial"/>
          <w:color w:val="000000"/>
          <w:szCs w:val="24"/>
        </w:rPr>
        <w:t>digestive.</w:t>
      </w:r>
    </w:p>
    <w:p w14:paraId="5EA5A8D8" w14:textId="77777777" w:rsidR="0084547A" w:rsidRPr="00A323AB" w:rsidRDefault="0084547A" w:rsidP="0084547A">
      <w:pPr>
        <w:shd w:val="clear" w:color="auto" w:fill="FFFFFF"/>
        <w:spacing w:before="0" w:beforeAutospacing="0" w:after="0" w:afterAutospacing="0" w:line="293" w:lineRule="atLeast"/>
        <w:ind w:left="2250" w:right="720"/>
        <w:rPr>
          <w:rFonts w:eastAsia="Times New Roman" w:cs="Arial"/>
          <w:color w:val="000000"/>
          <w:szCs w:val="24"/>
        </w:rPr>
      </w:pPr>
    </w:p>
    <w:p w14:paraId="26C596A8" w14:textId="77777777" w:rsidR="00A323AB" w:rsidRPr="00A323AB" w:rsidRDefault="00A323AB" w:rsidP="00A323AB">
      <w:pPr>
        <w:shd w:val="clear" w:color="auto" w:fill="FFFFFF"/>
        <w:spacing w:before="0" w:beforeAutospacing="0" w:after="360" w:afterAutospacing="0" w:line="293" w:lineRule="atLeast"/>
        <w:rPr>
          <w:rFonts w:eastAsia="Times New Roman" w:cs="Arial"/>
          <w:color w:val="000000"/>
          <w:szCs w:val="24"/>
        </w:rPr>
      </w:pPr>
      <w:r w:rsidRPr="00A323AB">
        <w:rPr>
          <w:rFonts w:eastAsia="Times New Roman" w:cs="Arial"/>
          <w:color w:val="000000"/>
          <w:szCs w:val="24"/>
        </w:rPr>
        <w:t>Using the same sequence of actions, select the secondary impairment that contributes to, but is not the primary basis, of the impediment to employment in VR or to the rehabilitation goals in comprehensive rehabilitation services and independent living services. If there is a tertiary disability, follow the same steps to add the third impairment. For more information see </w:t>
      </w:r>
      <w:proofErr w:type="spellStart"/>
      <w:r w:rsidR="00D971E1">
        <w:fldChar w:fldCharType="begin"/>
      </w:r>
      <w:r w:rsidR="00D971E1">
        <w:instrText xml:space="preserve"> HYPERLINK "https://intra.twc.texas.gov/intranet/manuals/rhwhelp/index.html" </w:instrText>
      </w:r>
      <w:r w:rsidR="00D971E1">
        <w:fldChar w:fldCharType="separate"/>
      </w:r>
      <w:r w:rsidRPr="00A323AB">
        <w:rPr>
          <w:rFonts w:eastAsia="Times New Roman" w:cs="Arial"/>
          <w:color w:val="003399"/>
          <w:szCs w:val="24"/>
          <w:u w:val="single"/>
        </w:rPr>
        <w:t>ReHabWorks</w:t>
      </w:r>
      <w:proofErr w:type="spellEnd"/>
      <w:r w:rsidRPr="00A323AB">
        <w:rPr>
          <w:rFonts w:eastAsia="Times New Roman" w:cs="Arial"/>
          <w:color w:val="003399"/>
          <w:szCs w:val="24"/>
          <w:u w:val="single"/>
        </w:rPr>
        <w:t xml:space="preserve"> (RHW) Users Guide, Chapter 10: Application, 10.2 Disability Information</w:t>
      </w:r>
      <w:r w:rsidR="00D971E1">
        <w:rPr>
          <w:rFonts w:eastAsia="Times New Roman" w:cs="Arial"/>
          <w:color w:val="003399"/>
          <w:szCs w:val="24"/>
          <w:u w:val="single"/>
        </w:rPr>
        <w:fldChar w:fldCharType="end"/>
      </w:r>
      <w:r w:rsidRPr="00A323AB">
        <w:rPr>
          <w:rFonts w:eastAsia="Times New Roman" w:cs="Arial"/>
          <w:color w:val="000000"/>
          <w:szCs w:val="24"/>
        </w:rPr>
        <w:t>.</w:t>
      </w:r>
    </w:p>
    <w:p w14:paraId="053165EE" w14:textId="77777777" w:rsidR="00A323AB" w:rsidRPr="00A323AB" w:rsidRDefault="00A323AB" w:rsidP="00A323AB">
      <w:pPr>
        <w:shd w:val="clear" w:color="auto" w:fill="FFFFFF"/>
        <w:spacing w:before="0" w:beforeAutospacing="0" w:after="360" w:afterAutospacing="0" w:line="293" w:lineRule="atLeast"/>
        <w:rPr>
          <w:rFonts w:eastAsia="Times New Roman" w:cs="Arial"/>
          <w:color w:val="000000"/>
          <w:szCs w:val="24"/>
        </w:rPr>
      </w:pPr>
      <w:r w:rsidRPr="00A323AB">
        <w:rPr>
          <w:rFonts w:eastAsia="Times New Roman" w:cs="Arial"/>
          <w:color w:val="000000"/>
          <w:szCs w:val="24"/>
        </w:rPr>
        <w:t>For information about eligibility requirements for specific conditions, see </w:t>
      </w:r>
      <w:hyperlink r:id="rId10" w:anchor="b308-1" w:history="1">
        <w:r w:rsidRPr="00A323AB">
          <w:rPr>
            <w:rFonts w:eastAsia="Times New Roman" w:cs="Arial"/>
            <w:color w:val="003399"/>
            <w:szCs w:val="24"/>
            <w:u w:val="single"/>
          </w:rPr>
          <w:t>B-308-1: Required Assessments and Policies for Selected Conditions</w:t>
        </w:r>
      </w:hyperlink>
      <w:r w:rsidRPr="00A323AB">
        <w:rPr>
          <w:rFonts w:eastAsia="Times New Roman" w:cs="Arial"/>
          <w:color w:val="000000"/>
          <w:szCs w:val="24"/>
        </w:rPr>
        <w:t>.</w:t>
      </w:r>
    </w:p>
    <w:p w14:paraId="53200618" w14:textId="77777777" w:rsidR="00A323AB" w:rsidRPr="00A323AB" w:rsidRDefault="00A323AB" w:rsidP="006F5BAA">
      <w:pPr>
        <w:pStyle w:val="Heading4"/>
        <w:rPr>
          <w:rFonts w:eastAsia="Times New Roman"/>
        </w:rPr>
      </w:pPr>
      <w:r w:rsidRPr="00A323AB">
        <w:rPr>
          <w:rFonts w:eastAsia="Times New Roman"/>
        </w:rPr>
        <w:t>Primary and Secondary Disability Categories</w:t>
      </w:r>
    </w:p>
    <w:p w14:paraId="0E96AE20" w14:textId="77777777" w:rsidR="00A323AB" w:rsidRPr="00A323AB" w:rsidRDefault="00A323AB" w:rsidP="00A323AB">
      <w:pPr>
        <w:shd w:val="clear" w:color="auto" w:fill="FFFFFF"/>
        <w:spacing w:before="0" w:beforeAutospacing="0" w:after="360" w:afterAutospacing="0" w:line="293" w:lineRule="atLeast"/>
        <w:rPr>
          <w:rFonts w:eastAsia="Times New Roman" w:cs="Arial"/>
          <w:color w:val="000000"/>
          <w:szCs w:val="24"/>
        </w:rPr>
      </w:pPr>
      <w:r w:rsidRPr="00A323AB">
        <w:rPr>
          <w:rFonts w:eastAsia="Times New Roman" w:cs="Arial"/>
          <w:color w:val="000000"/>
          <w:szCs w:val="24"/>
        </w:rPr>
        <w:t>Use the following in selecting primary and secondary disability categories.</w:t>
      </w:r>
    </w:p>
    <w:p w14:paraId="45A2A837" w14:textId="77777777" w:rsidR="00A323AB" w:rsidRPr="00A323AB" w:rsidRDefault="00A323AB" w:rsidP="006F5BAA">
      <w:pPr>
        <w:pStyle w:val="Heading4"/>
        <w:rPr>
          <w:rFonts w:eastAsia="Times New Roman"/>
        </w:rPr>
      </w:pPr>
      <w:r w:rsidRPr="00A323AB">
        <w:rPr>
          <w:rFonts w:eastAsia="Times New Roman"/>
        </w:rPr>
        <w:t>Sensory and/or Communicative Impairments</w:t>
      </w:r>
    </w:p>
    <w:p w14:paraId="0C1C0E5D" w14:textId="77777777" w:rsidR="00A323AB" w:rsidRPr="004A270D" w:rsidRDefault="00A323AB" w:rsidP="004A270D">
      <w:pPr>
        <w:pStyle w:val="Heading5"/>
        <w:rPr>
          <w:rFonts w:ascii="Arial" w:eastAsia="Times New Roman" w:hAnsi="Arial" w:cs="Arial"/>
          <w:b/>
          <w:bCs/>
          <w:color w:val="auto"/>
        </w:rPr>
      </w:pPr>
      <w:r w:rsidRPr="004A270D">
        <w:rPr>
          <w:rFonts w:ascii="Arial" w:eastAsia="Times New Roman" w:hAnsi="Arial" w:cs="Arial"/>
          <w:b/>
          <w:bCs/>
          <w:color w:val="auto"/>
        </w:rPr>
        <w:t>Blindness</w:t>
      </w:r>
    </w:p>
    <w:p w14:paraId="2B5FCB18" w14:textId="77777777" w:rsidR="00A323AB" w:rsidRDefault="00A323AB" w:rsidP="00A323AB">
      <w:pPr>
        <w:numPr>
          <w:ilvl w:val="0"/>
          <w:numId w:val="18"/>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An impairment that results in the customer being legally blind, which is defined as central visual acuity 20/200 or less in the better eye with best correction, or visual fields restriction of 20 degrees or less (both eyes).</w:t>
      </w:r>
    </w:p>
    <w:p w14:paraId="14FF323C" w14:textId="77777777" w:rsidR="00A323AB" w:rsidRPr="009D3BC0" w:rsidRDefault="00A323AB" w:rsidP="009D3BC0">
      <w:pPr>
        <w:pStyle w:val="Heading5"/>
        <w:rPr>
          <w:rFonts w:ascii="Arial" w:eastAsia="Times New Roman" w:hAnsi="Arial" w:cs="Arial"/>
          <w:b/>
          <w:bCs/>
          <w:color w:val="auto"/>
        </w:rPr>
      </w:pPr>
      <w:r w:rsidRPr="009D3BC0">
        <w:rPr>
          <w:rFonts w:ascii="Arial" w:eastAsia="Times New Roman" w:hAnsi="Arial" w:cs="Arial"/>
          <w:b/>
          <w:bCs/>
          <w:color w:val="auto"/>
        </w:rPr>
        <w:t>Other Visual Impairments</w:t>
      </w:r>
    </w:p>
    <w:p w14:paraId="1D36EB76" w14:textId="77777777" w:rsidR="00A323AB" w:rsidRDefault="00A323AB" w:rsidP="00A323AB">
      <w:pPr>
        <w:numPr>
          <w:ilvl w:val="0"/>
          <w:numId w:val="19"/>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Other visual impairments that do not result in legal blindness.</w:t>
      </w:r>
    </w:p>
    <w:p w14:paraId="1B223976" w14:textId="77777777" w:rsidR="00C86060" w:rsidRPr="00A323AB" w:rsidRDefault="00C86060" w:rsidP="00C86060">
      <w:pPr>
        <w:shd w:val="clear" w:color="auto" w:fill="FFFFFF"/>
        <w:spacing w:before="0" w:beforeAutospacing="0" w:after="0" w:afterAutospacing="0" w:line="293" w:lineRule="atLeast"/>
        <w:ind w:left="1080" w:right="360"/>
        <w:rPr>
          <w:rFonts w:eastAsia="Times New Roman" w:cs="Arial"/>
          <w:color w:val="000000"/>
          <w:szCs w:val="24"/>
        </w:rPr>
      </w:pPr>
    </w:p>
    <w:p w14:paraId="5EF3C22A" w14:textId="77777777" w:rsidR="00A323AB" w:rsidRPr="009D3BC0" w:rsidRDefault="00A323AB" w:rsidP="009D3BC0">
      <w:pPr>
        <w:pStyle w:val="Heading5"/>
        <w:rPr>
          <w:rFonts w:ascii="Arial" w:eastAsia="Times New Roman" w:hAnsi="Arial" w:cs="Arial"/>
          <w:b/>
          <w:bCs/>
          <w:color w:val="auto"/>
        </w:rPr>
      </w:pPr>
      <w:r w:rsidRPr="009D3BC0">
        <w:rPr>
          <w:rFonts w:ascii="Arial" w:eastAsia="Times New Roman" w:hAnsi="Arial" w:cs="Arial"/>
          <w:b/>
          <w:bCs/>
          <w:color w:val="auto"/>
        </w:rPr>
        <w:t>Deafness, Primary Communication Visual</w:t>
      </w:r>
    </w:p>
    <w:p w14:paraId="486CBD38" w14:textId="4FDA6F01" w:rsidR="00A323AB" w:rsidRDefault="00A323AB" w:rsidP="00A323AB">
      <w:pPr>
        <w:numPr>
          <w:ilvl w:val="0"/>
          <w:numId w:val="20"/>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A hearing impairment causing dependence primarily upon visual communication (for example, writing, manual communication, gestures) or when combined with blindness, tactile communication (for example, finger spelling)</w:t>
      </w:r>
      <w:r w:rsidR="00C86060">
        <w:rPr>
          <w:rFonts w:eastAsia="Times New Roman" w:cs="Arial"/>
          <w:color w:val="000000"/>
          <w:szCs w:val="24"/>
        </w:rPr>
        <w:t>.</w:t>
      </w:r>
    </w:p>
    <w:p w14:paraId="12463BA7" w14:textId="77777777" w:rsidR="00C86060" w:rsidRPr="00A323AB" w:rsidRDefault="00C86060" w:rsidP="00C86060">
      <w:pPr>
        <w:shd w:val="clear" w:color="auto" w:fill="FFFFFF"/>
        <w:spacing w:before="0" w:beforeAutospacing="0" w:after="0" w:afterAutospacing="0" w:line="293" w:lineRule="atLeast"/>
        <w:ind w:left="1080" w:right="360"/>
        <w:rPr>
          <w:rFonts w:eastAsia="Times New Roman" w:cs="Arial"/>
          <w:color w:val="000000"/>
          <w:szCs w:val="24"/>
        </w:rPr>
      </w:pPr>
    </w:p>
    <w:p w14:paraId="0EA3DFC5" w14:textId="77777777" w:rsidR="00A323AB" w:rsidRPr="00121C1C" w:rsidRDefault="00A323AB" w:rsidP="00121C1C">
      <w:pPr>
        <w:pStyle w:val="Heading5"/>
        <w:rPr>
          <w:rFonts w:ascii="Arial" w:eastAsia="Times New Roman" w:hAnsi="Arial" w:cs="Arial"/>
          <w:b/>
          <w:bCs/>
          <w:color w:val="auto"/>
        </w:rPr>
      </w:pPr>
      <w:r w:rsidRPr="00121C1C">
        <w:rPr>
          <w:rFonts w:ascii="Arial" w:eastAsia="Times New Roman" w:hAnsi="Arial" w:cs="Arial"/>
          <w:b/>
          <w:bCs/>
          <w:color w:val="auto"/>
        </w:rPr>
        <w:t>Deafness, Primary Communication Auditory</w:t>
      </w:r>
    </w:p>
    <w:p w14:paraId="21CFAEAC" w14:textId="1DE7B7DB" w:rsidR="00C86060" w:rsidRPr="00C86060" w:rsidRDefault="00A323AB" w:rsidP="00C86060">
      <w:pPr>
        <w:numPr>
          <w:ilvl w:val="0"/>
          <w:numId w:val="21"/>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The customer uses spoken language primarily for expressive communication and has been identified in the past as being oral deaf or late-deafened adult. This category might include customers who use cochlear implants. These customers might depend primarily on visual communication, such as:</w:t>
      </w:r>
    </w:p>
    <w:p w14:paraId="1808D09A" w14:textId="77777777" w:rsidR="00A323AB" w:rsidRPr="00A323AB" w:rsidRDefault="00A323AB" w:rsidP="00A323AB">
      <w:pPr>
        <w:numPr>
          <w:ilvl w:val="1"/>
          <w:numId w:val="21"/>
        </w:numPr>
        <w:shd w:val="clear" w:color="auto" w:fill="FFFFFF"/>
        <w:spacing w:before="0" w:beforeAutospacing="0" w:after="0" w:afterAutospacing="0" w:line="293" w:lineRule="atLeast"/>
        <w:ind w:left="2160" w:right="720"/>
        <w:rPr>
          <w:rFonts w:eastAsia="Times New Roman" w:cs="Arial"/>
          <w:color w:val="000000"/>
          <w:szCs w:val="24"/>
        </w:rPr>
      </w:pPr>
      <w:r w:rsidRPr="00A323AB">
        <w:rPr>
          <w:rFonts w:eastAsia="Times New Roman" w:cs="Arial"/>
          <w:color w:val="000000"/>
          <w:szCs w:val="24"/>
        </w:rPr>
        <w:t xml:space="preserve">speech-to-text </w:t>
      </w:r>
      <w:proofErr w:type="gramStart"/>
      <w:r w:rsidRPr="00A323AB">
        <w:rPr>
          <w:rFonts w:eastAsia="Times New Roman" w:cs="Arial"/>
          <w:color w:val="000000"/>
          <w:szCs w:val="24"/>
        </w:rPr>
        <w:t>translation;</w:t>
      </w:r>
      <w:proofErr w:type="gramEnd"/>
    </w:p>
    <w:p w14:paraId="25377372" w14:textId="77777777" w:rsidR="00A323AB" w:rsidRPr="00A323AB" w:rsidRDefault="00A323AB" w:rsidP="00A323AB">
      <w:pPr>
        <w:numPr>
          <w:ilvl w:val="1"/>
          <w:numId w:val="21"/>
        </w:numPr>
        <w:shd w:val="clear" w:color="auto" w:fill="FFFFFF"/>
        <w:spacing w:before="0" w:beforeAutospacing="0" w:after="0" w:afterAutospacing="0" w:line="293" w:lineRule="atLeast"/>
        <w:ind w:left="2160" w:right="720"/>
        <w:rPr>
          <w:rFonts w:eastAsia="Times New Roman" w:cs="Arial"/>
          <w:color w:val="000000"/>
          <w:szCs w:val="24"/>
        </w:rPr>
      </w:pPr>
      <w:r w:rsidRPr="00A323AB">
        <w:rPr>
          <w:rFonts w:eastAsia="Times New Roman" w:cs="Arial"/>
          <w:color w:val="000000"/>
          <w:szCs w:val="24"/>
        </w:rPr>
        <w:t>lip reading; and/or</w:t>
      </w:r>
    </w:p>
    <w:p w14:paraId="5B54AB89" w14:textId="77777777" w:rsidR="00A323AB" w:rsidRDefault="00A323AB" w:rsidP="00A323AB">
      <w:pPr>
        <w:numPr>
          <w:ilvl w:val="1"/>
          <w:numId w:val="21"/>
        </w:numPr>
        <w:shd w:val="clear" w:color="auto" w:fill="FFFFFF"/>
        <w:spacing w:before="0" w:beforeAutospacing="0" w:after="0" w:afterAutospacing="0" w:line="293" w:lineRule="atLeast"/>
        <w:ind w:left="2160" w:right="720"/>
        <w:rPr>
          <w:rFonts w:eastAsia="Times New Roman" w:cs="Arial"/>
          <w:color w:val="000000"/>
          <w:szCs w:val="24"/>
        </w:rPr>
      </w:pPr>
      <w:r w:rsidRPr="00A323AB">
        <w:rPr>
          <w:rFonts w:eastAsia="Times New Roman" w:cs="Arial"/>
          <w:color w:val="000000"/>
          <w:szCs w:val="24"/>
        </w:rPr>
        <w:t>English-based sign language.</w:t>
      </w:r>
    </w:p>
    <w:p w14:paraId="6E961FA0" w14:textId="77777777" w:rsidR="00C86060" w:rsidRPr="00A323AB" w:rsidRDefault="00C86060" w:rsidP="00C86060">
      <w:pPr>
        <w:shd w:val="clear" w:color="auto" w:fill="FFFFFF"/>
        <w:spacing w:before="0" w:beforeAutospacing="0" w:after="0" w:afterAutospacing="0" w:line="293" w:lineRule="atLeast"/>
        <w:ind w:left="2160" w:right="720"/>
        <w:rPr>
          <w:rFonts w:eastAsia="Times New Roman" w:cs="Arial"/>
          <w:color w:val="000000"/>
          <w:szCs w:val="24"/>
        </w:rPr>
      </w:pPr>
    </w:p>
    <w:p w14:paraId="5A459FC7" w14:textId="77777777" w:rsidR="00A323AB" w:rsidRPr="00121C1C" w:rsidRDefault="00A323AB" w:rsidP="00121C1C">
      <w:pPr>
        <w:pStyle w:val="Heading5"/>
        <w:rPr>
          <w:rFonts w:ascii="Arial" w:eastAsia="Times New Roman" w:hAnsi="Arial" w:cs="Arial"/>
          <w:b/>
          <w:bCs/>
          <w:color w:val="auto"/>
        </w:rPr>
      </w:pPr>
      <w:r w:rsidRPr="00121C1C">
        <w:rPr>
          <w:rFonts w:ascii="Arial" w:eastAsia="Times New Roman" w:hAnsi="Arial" w:cs="Arial"/>
          <w:b/>
          <w:bCs/>
          <w:color w:val="auto"/>
        </w:rPr>
        <w:t>Hearing Loss, Primary Communication Visual</w:t>
      </w:r>
    </w:p>
    <w:p w14:paraId="3C0F7C8B" w14:textId="77777777" w:rsidR="00A323AB" w:rsidRPr="00A323AB" w:rsidRDefault="00A323AB" w:rsidP="00294FAD">
      <w:pPr>
        <w:shd w:val="clear" w:color="auto" w:fill="FFFFFF"/>
        <w:spacing w:before="0" w:beforeAutospacing="0" w:after="0" w:afterAutospacing="0" w:line="293" w:lineRule="atLeast"/>
        <w:ind w:right="360"/>
        <w:rPr>
          <w:rFonts w:eastAsia="Times New Roman" w:cs="Arial"/>
          <w:color w:val="000000"/>
          <w:szCs w:val="24"/>
        </w:rPr>
      </w:pPr>
      <w:r w:rsidRPr="00A323AB">
        <w:rPr>
          <w:rFonts w:eastAsia="Times New Roman" w:cs="Arial"/>
          <w:color w:val="000000"/>
          <w:szCs w:val="24"/>
        </w:rPr>
        <w:t>An unaided hearing loss</w:t>
      </w:r>
    </w:p>
    <w:p w14:paraId="3929C5E0" w14:textId="77777777" w:rsidR="00A323AB" w:rsidRPr="00A323AB" w:rsidRDefault="00A323AB" w:rsidP="00A323AB">
      <w:pPr>
        <w:numPr>
          <w:ilvl w:val="0"/>
          <w:numId w:val="22"/>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of at least 40 dB (American National Standard Institute (ANSI)), or pure tone average (PTA) in the more useful ear; or</w:t>
      </w:r>
    </w:p>
    <w:p w14:paraId="1298F300" w14:textId="77777777" w:rsidR="00A323AB" w:rsidRPr="00A323AB" w:rsidRDefault="00A323AB" w:rsidP="00A323AB">
      <w:pPr>
        <w:numPr>
          <w:ilvl w:val="0"/>
          <w:numId w:val="22"/>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 xml:space="preserve">between </w:t>
      </w:r>
      <w:proofErr w:type="gramStart"/>
      <w:r w:rsidRPr="00A323AB">
        <w:rPr>
          <w:rFonts w:eastAsia="Times New Roman" w:cs="Arial"/>
          <w:color w:val="000000"/>
          <w:szCs w:val="24"/>
        </w:rPr>
        <w:t>30 and 39 dB</w:t>
      </w:r>
      <w:proofErr w:type="gramEnd"/>
      <w:r w:rsidRPr="00A323AB">
        <w:rPr>
          <w:rFonts w:eastAsia="Times New Roman" w:cs="Arial"/>
          <w:color w:val="000000"/>
          <w:szCs w:val="24"/>
        </w:rPr>
        <w:t xml:space="preserve"> loss (ANSI), or PTA in the more useful ear with either</w:t>
      </w:r>
    </w:p>
    <w:p w14:paraId="10AF0B90" w14:textId="77777777" w:rsidR="00A323AB" w:rsidRPr="00A323AB" w:rsidRDefault="00A323AB" w:rsidP="00A323AB">
      <w:pPr>
        <w:numPr>
          <w:ilvl w:val="0"/>
          <w:numId w:val="22"/>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speech discrimination of less than 70 percent, or</w:t>
      </w:r>
    </w:p>
    <w:p w14:paraId="265B4E82" w14:textId="77777777" w:rsidR="00A323AB" w:rsidRDefault="00A323AB" w:rsidP="00A323AB">
      <w:pPr>
        <w:numPr>
          <w:ilvl w:val="0"/>
          <w:numId w:val="22"/>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a statement from a physician skilled in diseases of the ear stating a progressive loss of hearing.</w:t>
      </w:r>
    </w:p>
    <w:p w14:paraId="1F9781FB" w14:textId="77777777" w:rsidR="00121C1C" w:rsidRPr="00A323AB" w:rsidRDefault="00121C1C" w:rsidP="00121C1C">
      <w:pPr>
        <w:shd w:val="clear" w:color="auto" w:fill="FFFFFF"/>
        <w:spacing w:before="0" w:beforeAutospacing="0" w:after="0" w:afterAutospacing="0" w:line="293" w:lineRule="atLeast"/>
        <w:ind w:left="1080" w:right="360"/>
        <w:rPr>
          <w:rFonts w:eastAsia="Times New Roman" w:cs="Arial"/>
          <w:color w:val="000000"/>
          <w:szCs w:val="24"/>
        </w:rPr>
      </w:pPr>
    </w:p>
    <w:p w14:paraId="17DF97BD" w14:textId="77777777" w:rsidR="00A323AB" w:rsidRPr="00A323AB" w:rsidRDefault="00A323AB" w:rsidP="00A323AB">
      <w:pPr>
        <w:shd w:val="clear" w:color="auto" w:fill="FFFFFF"/>
        <w:spacing w:before="0" w:beforeAutospacing="0" w:after="360" w:afterAutospacing="0" w:line="293" w:lineRule="atLeast"/>
        <w:rPr>
          <w:rFonts w:eastAsia="Times New Roman" w:cs="Arial"/>
          <w:color w:val="000000"/>
          <w:szCs w:val="24"/>
        </w:rPr>
      </w:pPr>
      <w:r w:rsidRPr="00A323AB">
        <w:rPr>
          <w:rFonts w:eastAsia="Times New Roman" w:cs="Arial"/>
          <w:color w:val="000000"/>
          <w:szCs w:val="24"/>
        </w:rPr>
        <w:t>The customer's primary receptive mode of communication is visual (for example, writing, lip reading, manual communication, gestures). The customer's primary expressive mode of communication is spoken language (when the customer voices or speaks).</w:t>
      </w:r>
    </w:p>
    <w:p w14:paraId="77CCDE36" w14:textId="77777777" w:rsidR="00A323AB" w:rsidRPr="00121C1C" w:rsidRDefault="00A323AB" w:rsidP="00121C1C">
      <w:pPr>
        <w:pStyle w:val="Heading5"/>
        <w:rPr>
          <w:rFonts w:ascii="Arial" w:eastAsia="Times New Roman" w:hAnsi="Arial" w:cs="Arial"/>
          <w:b/>
          <w:bCs/>
          <w:color w:val="auto"/>
        </w:rPr>
      </w:pPr>
      <w:r w:rsidRPr="00121C1C">
        <w:rPr>
          <w:rFonts w:ascii="Arial" w:eastAsia="Times New Roman" w:hAnsi="Arial" w:cs="Arial"/>
          <w:b/>
          <w:bCs/>
          <w:color w:val="auto"/>
        </w:rPr>
        <w:t>Hearing Loss, Primary Communication Auditory</w:t>
      </w:r>
    </w:p>
    <w:p w14:paraId="0975B26F" w14:textId="77777777" w:rsidR="00A323AB" w:rsidRPr="00A323AB" w:rsidRDefault="00A323AB" w:rsidP="00A323AB">
      <w:pPr>
        <w:shd w:val="clear" w:color="auto" w:fill="FFFFFF"/>
        <w:spacing w:before="0" w:beforeAutospacing="0" w:after="360" w:afterAutospacing="0" w:line="293" w:lineRule="atLeast"/>
        <w:rPr>
          <w:rFonts w:eastAsia="Times New Roman" w:cs="Arial"/>
          <w:color w:val="000000"/>
          <w:szCs w:val="24"/>
        </w:rPr>
      </w:pPr>
      <w:r w:rsidRPr="00A323AB">
        <w:rPr>
          <w:rFonts w:eastAsia="Times New Roman" w:cs="Arial"/>
          <w:color w:val="000000"/>
          <w:szCs w:val="24"/>
        </w:rPr>
        <w:t>An unaided hearing loss</w:t>
      </w:r>
    </w:p>
    <w:p w14:paraId="034B06B3" w14:textId="77777777" w:rsidR="00A323AB" w:rsidRPr="00A323AB" w:rsidRDefault="00A323AB" w:rsidP="00A323AB">
      <w:pPr>
        <w:numPr>
          <w:ilvl w:val="0"/>
          <w:numId w:val="23"/>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of at least 40 dB (American National Standard Institute [ANSI]), pure tone average (PTA) in the more useful ear; or</w:t>
      </w:r>
    </w:p>
    <w:p w14:paraId="704CA13E" w14:textId="77777777" w:rsidR="00A323AB" w:rsidRPr="00A323AB" w:rsidRDefault="00A323AB" w:rsidP="00A323AB">
      <w:pPr>
        <w:numPr>
          <w:ilvl w:val="0"/>
          <w:numId w:val="23"/>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between 30 and 39 dB (ANSI), or PTA in the more useful ear with either</w:t>
      </w:r>
    </w:p>
    <w:p w14:paraId="46D2CBC6" w14:textId="77777777" w:rsidR="00A323AB" w:rsidRPr="00A323AB" w:rsidRDefault="00A323AB" w:rsidP="00A323AB">
      <w:pPr>
        <w:numPr>
          <w:ilvl w:val="1"/>
          <w:numId w:val="23"/>
        </w:numPr>
        <w:shd w:val="clear" w:color="auto" w:fill="FFFFFF"/>
        <w:spacing w:before="0" w:beforeAutospacing="0" w:after="0" w:afterAutospacing="0" w:line="293" w:lineRule="atLeast"/>
        <w:ind w:left="2160" w:right="720"/>
        <w:rPr>
          <w:rFonts w:eastAsia="Times New Roman" w:cs="Arial"/>
          <w:color w:val="000000"/>
          <w:szCs w:val="24"/>
        </w:rPr>
      </w:pPr>
      <w:r w:rsidRPr="00A323AB">
        <w:rPr>
          <w:rFonts w:eastAsia="Times New Roman" w:cs="Arial"/>
          <w:color w:val="000000"/>
          <w:szCs w:val="24"/>
        </w:rPr>
        <w:t>speech discrimination of less than 70%, or</w:t>
      </w:r>
    </w:p>
    <w:p w14:paraId="1FE04C44" w14:textId="77777777" w:rsidR="00A323AB" w:rsidRDefault="00A323AB" w:rsidP="00A323AB">
      <w:pPr>
        <w:numPr>
          <w:ilvl w:val="1"/>
          <w:numId w:val="23"/>
        </w:numPr>
        <w:shd w:val="clear" w:color="auto" w:fill="FFFFFF"/>
        <w:spacing w:before="0" w:beforeAutospacing="0" w:after="0" w:afterAutospacing="0" w:line="293" w:lineRule="atLeast"/>
        <w:ind w:left="2160" w:right="720"/>
        <w:rPr>
          <w:rFonts w:eastAsia="Times New Roman" w:cs="Arial"/>
          <w:color w:val="000000"/>
          <w:szCs w:val="24"/>
        </w:rPr>
      </w:pPr>
      <w:r w:rsidRPr="00A323AB">
        <w:rPr>
          <w:rFonts w:eastAsia="Times New Roman" w:cs="Arial"/>
          <w:color w:val="000000"/>
          <w:szCs w:val="24"/>
        </w:rPr>
        <w:t>a statement from a physician skilled in diseases of the ear stating a progressive loss of hearing.</w:t>
      </w:r>
    </w:p>
    <w:p w14:paraId="697C1B19" w14:textId="77777777" w:rsidR="00121C1C" w:rsidRPr="00A323AB" w:rsidRDefault="00121C1C" w:rsidP="00121C1C">
      <w:pPr>
        <w:shd w:val="clear" w:color="auto" w:fill="FFFFFF"/>
        <w:spacing w:before="0" w:beforeAutospacing="0" w:after="0" w:afterAutospacing="0" w:line="293" w:lineRule="atLeast"/>
        <w:ind w:left="2160" w:right="720"/>
        <w:rPr>
          <w:rFonts w:eastAsia="Times New Roman" w:cs="Arial"/>
          <w:color w:val="000000"/>
          <w:szCs w:val="24"/>
        </w:rPr>
      </w:pPr>
    </w:p>
    <w:p w14:paraId="7ADA7E4D" w14:textId="77777777" w:rsidR="00A323AB" w:rsidRPr="00A323AB" w:rsidRDefault="00A323AB" w:rsidP="00A323AB">
      <w:pPr>
        <w:shd w:val="clear" w:color="auto" w:fill="FFFFFF"/>
        <w:spacing w:before="0" w:beforeAutospacing="0" w:after="360" w:afterAutospacing="0" w:line="293" w:lineRule="atLeast"/>
        <w:rPr>
          <w:rFonts w:eastAsia="Times New Roman" w:cs="Arial"/>
          <w:color w:val="000000"/>
          <w:szCs w:val="24"/>
        </w:rPr>
      </w:pPr>
      <w:r w:rsidRPr="00A323AB">
        <w:rPr>
          <w:rFonts w:eastAsia="Times New Roman" w:cs="Arial"/>
          <w:color w:val="000000"/>
          <w:szCs w:val="24"/>
        </w:rPr>
        <w:t>The customer's primary receptive mode of communication is auditory with or without the assistance of amplification (for example, hearing aids). The customer's primary expressive mode of communication is spoken language (when the customer voices or speaks).</w:t>
      </w:r>
    </w:p>
    <w:p w14:paraId="2B2C599E" w14:textId="77777777" w:rsidR="00A323AB" w:rsidRPr="00121C1C" w:rsidRDefault="00A323AB" w:rsidP="00121C1C">
      <w:pPr>
        <w:pStyle w:val="Heading5"/>
        <w:rPr>
          <w:rFonts w:ascii="Arial" w:eastAsia="Times New Roman" w:hAnsi="Arial" w:cs="Arial"/>
          <w:b/>
          <w:bCs/>
          <w:color w:val="auto"/>
        </w:rPr>
      </w:pPr>
      <w:r w:rsidRPr="00121C1C">
        <w:rPr>
          <w:rFonts w:ascii="Arial" w:eastAsia="Times New Roman" w:hAnsi="Arial" w:cs="Arial"/>
          <w:b/>
          <w:bCs/>
          <w:color w:val="auto"/>
        </w:rPr>
        <w:t>Other Hearing Impairments</w:t>
      </w:r>
    </w:p>
    <w:p w14:paraId="5F76CFCC" w14:textId="77777777" w:rsidR="00A323AB" w:rsidRDefault="00A323AB" w:rsidP="00A323AB">
      <w:pPr>
        <w:numPr>
          <w:ilvl w:val="0"/>
          <w:numId w:val="24"/>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Diseases and conditions of the ear or auditory systems that do not cause a hearing loss of at least 30 dB in the conversational range in both ears but that do cause an impediment to employment (for example, tinnitus, Meniere's disease, hyperacusis).</w:t>
      </w:r>
    </w:p>
    <w:p w14:paraId="3618969E" w14:textId="77777777" w:rsidR="00542652" w:rsidRPr="00A323AB" w:rsidRDefault="00542652" w:rsidP="00542652">
      <w:pPr>
        <w:shd w:val="clear" w:color="auto" w:fill="FFFFFF"/>
        <w:spacing w:before="0" w:beforeAutospacing="0" w:after="0" w:afterAutospacing="0" w:line="293" w:lineRule="atLeast"/>
        <w:ind w:left="1080" w:right="360"/>
        <w:rPr>
          <w:rFonts w:eastAsia="Times New Roman" w:cs="Arial"/>
          <w:color w:val="000000"/>
          <w:szCs w:val="24"/>
        </w:rPr>
      </w:pPr>
    </w:p>
    <w:p w14:paraId="6C0EB74C" w14:textId="77777777" w:rsidR="00A323AB" w:rsidRPr="00542652" w:rsidRDefault="00A323AB" w:rsidP="00542652">
      <w:pPr>
        <w:pStyle w:val="Heading5"/>
        <w:rPr>
          <w:rFonts w:ascii="Arial" w:eastAsia="Times New Roman" w:hAnsi="Arial" w:cs="Arial"/>
          <w:b/>
          <w:bCs/>
          <w:color w:val="auto"/>
        </w:rPr>
      </w:pPr>
      <w:r w:rsidRPr="00542652">
        <w:rPr>
          <w:rFonts w:ascii="Arial" w:eastAsia="Times New Roman" w:hAnsi="Arial" w:cs="Arial"/>
          <w:b/>
          <w:bCs/>
          <w:color w:val="auto"/>
        </w:rPr>
        <w:t>Deaf-Blind</w:t>
      </w:r>
    </w:p>
    <w:p w14:paraId="0B9AD7EC" w14:textId="77777777" w:rsidR="00A323AB" w:rsidRPr="00A323AB" w:rsidRDefault="00A323AB" w:rsidP="00A323AB">
      <w:pPr>
        <w:shd w:val="clear" w:color="auto" w:fill="FFFFFF"/>
        <w:spacing w:before="0" w:beforeAutospacing="0" w:after="360" w:afterAutospacing="0" w:line="293" w:lineRule="atLeast"/>
        <w:rPr>
          <w:rFonts w:eastAsia="Times New Roman" w:cs="Arial"/>
          <w:color w:val="000000"/>
          <w:szCs w:val="24"/>
        </w:rPr>
      </w:pPr>
      <w:r w:rsidRPr="00A323AB">
        <w:rPr>
          <w:rFonts w:eastAsia="Times New Roman" w:cs="Arial"/>
          <w:color w:val="000000"/>
          <w:szCs w:val="24"/>
        </w:rPr>
        <w:t xml:space="preserve">A customer who is </w:t>
      </w:r>
      <w:proofErr w:type="gramStart"/>
      <w:r w:rsidRPr="00A323AB">
        <w:rPr>
          <w:rFonts w:eastAsia="Times New Roman" w:cs="Arial"/>
          <w:color w:val="000000"/>
          <w:szCs w:val="24"/>
        </w:rPr>
        <w:t>deaf-blind</w:t>
      </w:r>
      <w:proofErr w:type="gramEnd"/>
      <w:r w:rsidRPr="00A323AB">
        <w:rPr>
          <w:rFonts w:eastAsia="Times New Roman" w:cs="Arial"/>
          <w:color w:val="000000"/>
          <w:szCs w:val="24"/>
        </w:rPr>
        <w:t xml:space="preserve"> is someone:</w:t>
      </w:r>
    </w:p>
    <w:p w14:paraId="4E5A2F35" w14:textId="77777777" w:rsidR="00A323AB" w:rsidRPr="00A323AB" w:rsidRDefault="00A323AB" w:rsidP="00A323AB">
      <w:pPr>
        <w:numPr>
          <w:ilvl w:val="0"/>
          <w:numId w:val="25"/>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who has:</w:t>
      </w:r>
    </w:p>
    <w:p w14:paraId="74D1E01D" w14:textId="77777777" w:rsidR="00A323AB" w:rsidRPr="00A323AB" w:rsidRDefault="00A323AB" w:rsidP="00A323AB">
      <w:pPr>
        <w:numPr>
          <w:ilvl w:val="1"/>
          <w:numId w:val="25"/>
        </w:numPr>
        <w:shd w:val="clear" w:color="auto" w:fill="FFFFFF"/>
        <w:spacing w:before="0" w:beforeAutospacing="0" w:after="0" w:afterAutospacing="0" w:line="293" w:lineRule="atLeast"/>
        <w:ind w:left="2160" w:right="720"/>
        <w:rPr>
          <w:rFonts w:eastAsia="Times New Roman" w:cs="Arial"/>
          <w:color w:val="000000"/>
          <w:szCs w:val="24"/>
        </w:rPr>
      </w:pPr>
      <w:r w:rsidRPr="00A323AB">
        <w:rPr>
          <w:rFonts w:eastAsia="Times New Roman" w:cs="Arial"/>
          <w:color w:val="000000"/>
          <w:szCs w:val="24"/>
        </w:rPr>
        <w:t xml:space="preserve">a central visual acuity of 20/200 or less in the better eye with corrective </w:t>
      </w:r>
      <w:proofErr w:type="gramStart"/>
      <w:r w:rsidRPr="00A323AB">
        <w:rPr>
          <w:rFonts w:eastAsia="Times New Roman" w:cs="Arial"/>
          <w:color w:val="000000"/>
          <w:szCs w:val="24"/>
        </w:rPr>
        <w:t>lenses;</w:t>
      </w:r>
      <w:proofErr w:type="gramEnd"/>
    </w:p>
    <w:p w14:paraId="328FACE6" w14:textId="77777777" w:rsidR="00A323AB" w:rsidRPr="00A323AB" w:rsidRDefault="00A323AB" w:rsidP="00A323AB">
      <w:pPr>
        <w:numPr>
          <w:ilvl w:val="1"/>
          <w:numId w:val="25"/>
        </w:numPr>
        <w:shd w:val="clear" w:color="auto" w:fill="FFFFFF"/>
        <w:spacing w:before="0" w:beforeAutospacing="0" w:after="0" w:afterAutospacing="0" w:line="293" w:lineRule="atLeast"/>
        <w:ind w:left="2160" w:right="720"/>
        <w:rPr>
          <w:rFonts w:eastAsia="Times New Roman" w:cs="Arial"/>
          <w:color w:val="000000"/>
          <w:szCs w:val="24"/>
        </w:rPr>
      </w:pPr>
      <w:r w:rsidRPr="00A323AB">
        <w:rPr>
          <w:rFonts w:eastAsia="Times New Roman" w:cs="Arial"/>
          <w:color w:val="000000"/>
          <w:szCs w:val="24"/>
        </w:rPr>
        <w:t xml:space="preserve">a field defect in which the peripheral diameter of visual field subtends an angular distance no greater than 20 degrees (tunnel vision), or a progressive visual loss having a prognosis leading to one or both </w:t>
      </w:r>
      <w:proofErr w:type="gramStart"/>
      <w:r w:rsidRPr="00A323AB">
        <w:rPr>
          <w:rFonts w:eastAsia="Times New Roman" w:cs="Arial"/>
          <w:color w:val="000000"/>
          <w:szCs w:val="24"/>
        </w:rPr>
        <w:t>conditions;</w:t>
      </w:r>
      <w:proofErr w:type="gramEnd"/>
    </w:p>
    <w:p w14:paraId="4CE8D0D7" w14:textId="77777777" w:rsidR="00A323AB" w:rsidRPr="00A323AB" w:rsidRDefault="00A323AB" w:rsidP="00A323AB">
      <w:pPr>
        <w:numPr>
          <w:ilvl w:val="1"/>
          <w:numId w:val="25"/>
        </w:numPr>
        <w:shd w:val="clear" w:color="auto" w:fill="FFFFFF"/>
        <w:spacing w:before="0" w:beforeAutospacing="0" w:after="0" w:afterAutospacing="0" w:line="293" w:lineRule="atLeast"/>
        <w:ind w:left="2160" w:right="720"/>
        <w:rPr>
          <w:rFonts w:eastAsia="Times New Roman" w:cs="Arial"/>
          <w:color w:val="000000"/>
          <w:szCs w:val="24"/>
        </w:rPr>
      </w:pPr>
      <w:r w:rsidRPr="00A323AB">
        <w:rPr>
          <w:rFonts w:eastAsia="Times New Roman" w:cs="Arial"/>
          <w:color w:val="000000"/>
          <w:szCs w:val="24"/>
        </w:rPr>
        <w:t>a chronic hearing impairment so significant that most speech cannot be understood with optimum amplification (speech discrimination of less than 50 percent); or</w:t>
      </w:r>
    </w:p>
    <w:p w14:paraId="1AA0A76B" w14:textId="77777777" w:rsidR="00A323AB" w:rsidRPr="00A323AB" w:rsidRDefault="00A323AB" w:rsidP="00A323AB">
      <w:pPr>
        <w:numPr>
          <w:ilvl w:val="1"/>
          <w:numId w:val="25"/>
        </w:numPr>
        <w:shd w:val="clear" w:color="auto" w:fill="FFFFFF"/>
        <w:spacing w:before="0" w:beforeAutospacing="0" w:after="0" w:afterAutospacing="0" w:line="293" w:lineRule="atLeast"/>
        <w:ind w:left="2160" w:right="720"/>
        <w:rPr>
          <w:rFonts w:eastAsia="Times New Roman" w:cs="Arial"/>
          <w:color w:val="000000"/>
          <w:szCs w:val="24"/>
        </w:rPr>
      </w:pPr>
      <w:r w:rsidRPr="00A323AB">
        <w:rPr>
          <w:rFonts w:eastAsia="Times New Roman" w:cs="Arial"/>
          <w:color w:val="000000"/>
          <w:szCs w:val="24"/>
        </w:rPr>
        <w:t>a progressive hearing loss having a prognosis leading to this condition; and</w:t>
      </w:r>
    </w:p>
    <w:p w14:paraId="20436926" w14:textId="1CEABAB5" w:rsidR="00A323AB" w:rsidRPr="00A323AB" w:rsidRDefault="00A323AB" w:rsidP="00A323AB">
      <w:pPr>
        <w:numPr>
          <w:ilvl w:val="0"/>
          <w:numId w:val="25"/>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 xml:space="preserve">for whom the combination of impairments described </w:t>
      </w:r>
      <w:del w:id="13" w:author="Author">
        <w:r w:rsidRPr="00A323AB" w:rsidDel="006403F9">
          <w:rPr>
            <w:rFonts w:eastAsia="Times New Roman" w:cs="Arial"/>
            <w:color w:val="000000"/>
            <w:szCs w:val="24"/>
          </w:rPr>
          <w:delText xml:space="preserve">in 1 and 2 </w:delText>
        </w:r>
      </w:del>
      <w:r w:rsidRPr="00A323AB">
        <w:rPr>
          <w:rFonts w:eastAsia="Times New Roman" w:cs="Arial"/>
          <w:color w:val="000000"/>
          <w:szCs w:val="24"/>
        </w:rPr>
        <w:t>above cause significant difficulty in attaining an employment outcome; or</w:t>
      </w:r>
    </w:p>
    <w:p w14:paraId="55258FE6" w14:textId="4489EF0E" w:rsidR="00A323AB" w:rsidRDefault="00A323AB" w:rsidP="00A323AB">
      <w:pPr>
        <w:numPr>
          <w:ilvl w:val="0"/>
          <w:numId w:val="25"/>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who, despite the inability to be measured accurately for hearing and vision loss because of cognitive and/or behavioral constraints, can be determined through a functional and performance assessment to have significant hearing and visual disabilities that cause extreme difficulty in attaining an employment outcome.</w:t>
      </w:r>
    </w:p>
    <w:p w14:paraId="1F9A37A4" w14:textId="77777777" w:rsidR="00542652" w:rsidRPr="00A323AB" w:rsidRDefault="00542652" w:rsidP="00542652">
      <w:pPr>
        <w:shd w:val="clear" w:color="auto" w:fill="FFFFFF"/>
        <w:spacing w:before="0" w:beforeAutospacing="0" w:after="0" w:afterAutospacing="0" w:line="293" w:lineRule="atLeast"/>
        <w:ind w:left="1080" w:right="360"/>
        <w:rPr>
          <w:rFonts w:eastAsia="Times New Roman" w:cs="Arial"/>
          <w:color w:val="000000"/>
          <w:szCs w:val="24"/>
        </w:rPr>
      </w:pPr>
    </w:p>
    <w:p w14:paraId="1D0E5422" w14:textId="184CADE3" w:rsidR="00A323AB" w:rsidRPr="00067E9A" w:rsidRDefault="00A323AB" w:rsidP="00067E9A">
      <w:pPr>
        <w:pStyle w:val="Heading5"/>
        <w:rPr>
          <w:rFonts w:ascii="Arial" w:eastAsia="Times New Roman" w:hAnsi="Arial" w:cs="Arial"/>
          <w:b/>
          <w:bCs/>
          <w:color w:val="auto"/>
        </w:rPr>
      </w:pPr>
      <w:r w:rsidRPr="00067E9A">
        <w:rPr>
          <w:rFonts w:ascii="Arial" w:eastAsia="Times New Roman" w:hAnsi="Arial" w:cs="Arial"/>
          <w:b/>
          <w:bCs/>
          <w:color w:val="auto"/>
        </w:rPr>
        <w:t>Communicative Disorder (</w:t>
      </w:r>
      <w:ins w:id="14" w:author="Author">
        <w:r w:rsidR="008B6642">
          <w:rPr>
            <w:rFonts w:ascii="Arial" w:eastAsia="Times New Roman" w:hAnsi="Arial" w:cs="Arial"/>
            <w:b/>
            <w:bCs/>
            <w:color w:val="auto"/>
          </w:rPr>
          <w:t>E</w:t>
        </w:r>
      </w:ins>
      <w:del w:id="15" w:author="Author">
        <w:r w:rsidRPr="00067E9A" w:rsidDel="008B6642">
          <w:rPr>
            <w:rFonts w:ascii="Arial" w:eastAsia="Times New Roman" w:hAnsi="Arial" w:cs="Arial"/>
            <w:b/>
            <w:bCs/>
            <w:color w:val="auto"/>
          </w:rPr>
          <w:delText>e</w:delText>
        </w:r>
      </w:del>
      <w:r w:rsidRPr="00067E9A">
        <w:rPr>
          <w:rFonts w:ascii="Arial" w:eastAsia="Times New Roman" w:hAnsi="Arial" w:cs="Arial"/>
          <w:b/>
          <w:bCs/>
          <w:color w:val="auto"/>
        </w:rPr>
        <w:t xml:space="preserve">xpressive or </w:t>
      </w:r>
      <w:del w:id="16" w:author="Author">
        <w:r w:rsidRPr="00067E9A" w:rsidDel="00410395">
          <w:rPr>
            <w:rFonts w:ascii="Arial" w:eastAsia="Times New Roman" w:hAnsi="Arial" w:cs="Arial"/>
            <w:b/>
            <w:bCs/>
            <w:color w:val="auto"/>
          </w:rPr>
          <w:delText>r</w:delText>
        </w:r>
      </w:del>
      <w:ins w:id="17" w:author="Author">
        <w:r w:rsidR="00410395">
          <w:rPr>
            <w:rFonts w:ascii="Arial" w:eastAsia="Times New Roman" w:hAnsi="Arial" w:cs="Arial"/>
            <w:b/>
            <w:bCs/>
            <w:color w:val="auto"/>
          </w:rPr>
          <w:t>R</w:t>
        </w:r>
      </w:ins>
      <w:r w:rsidRPr="00067E9A">
        <w:rPr>
          <w:rFonts w:ascii="Arial" w:eastAsia="Times New Roman" w:hAnsi="Arial" w:cs="Arial"/>
          <w:b/>
          <w:bCs/>
          <w:color w:val="auto"/>
        </w:rPr>
        <w:t>eceptive)</w:t>
      </w:r>
    </w:p>
    <w:p w14:paraId="49BE4D34" w14:textId="77777777" w:rsidR="00A323AB" w:rsidRPr="00A323AB" w:rsidRDefault="00A323AB" w:rsidP="00A323AB">
      <w:pPr>
        <w:shd w:val="clear" w:color="auto" w:fill="FFFFFF"/>
        <w:spacing w:before="0" w:beforeAutospacing="0" w:after="360" w:afterAutospacing="0" w:line="293" w:lineRule="atLeast"/>
        <w:rPr>
          <w:rFonts w:eastAsia="Times New Roman" w:cs="Arial"/>
          <w:color w:val="000000"/>
          <w:szCs w:val="24"/>
        </w:rPr>
      </w:pPr>
      <w:r w:rsidRPr="00A323AB">
        <w:rPr>
          <w:rFonts w:eastAsia="Times New Roman" w:cs="Arial"/>
          <w:color w:val="000000"/>
          <w:szCs w:val="24"/>
        </w:rPr>
        <w:t>A disorder that affects a customer's ability to communicate or understand communication.</w:t>
      </w:r>
    </w:p>
    <w:p w14:paraId="24A4AE37" w14:textId="77777777" w:rsidR="00A323AB" w:rsidRPr="00A323AB" w:rsidRDefault="00A323AB" w:rsidP="006F5BAA">
      <w:pPr>
        <w:pStyle w:val="Heading4"/>
        <w:rPr>
          <w:rFonts w:eastAsia="Times New Roman"/>
        </w:rPr>
      </w:pPr>
      <w:r w:rsidRPr="00A323AB">
        <w:rPr>
          <w:rFonts w:eastAsia="Times New Roman"/>
        </w:rPr>
        <w:t>Physical Impairments</w:t>
      </w:r>
    </w:p>
    <w:p w14:paraId="5CBC4427" w14:textId="77777777" w:rsidR="00A323AB" w:rsidRPr="00DA1BF5" w:rsidRDefault="00A323AB" w:rsidP="00DA1BF5">
      <w:pPr>
        <w:pStyle w:val="Heading5"/>
        <w:rPr>
          <w:rFonts w:ascii="Arial" w:eastAsia="Times New Roman" w:hAnsi="Arial" w:cs="Arial"/>
          <w:b/>
          <w:bCs/>
          <w:color w:val="auto"/>
        </w:rPr>
      </w:pPr>
      <w:r w:rsidRPr="00DA1BF5">
        <w:rPr>
          <w:rFonts w:ascii="Arial" w:eastAsia="Times New Roman" w:hAnsi="Arial" w:cs="Arial"/>
          <w:b/>
          <w:bCs/>
          <w:color w:val="auto"/>
        </w:rPr>
        <w:t>Mobility Impairment—Orthopedic or Neurological</w:t>
      </w:r>
    </w:p>
    <w:p w14:paraId="3D8F73A5" w14:textId="31210A56" w:rsidR="00A323AB" w:rsidRDefault="00A323AB" w:rsidP="00A323AB">
      <w:pPr>
        <w:numPr>
          <w:ilvl w:val="0"/>
          <w:numId w:val="26"/>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Mobility that is affected by either an orthopedic or neurological condition.</w:t>
      </w:r>
    </w:p>
    <w:p w14:paraId="435454DC" w14:textId="77777777" w:rsidR="00A323AB" w:rsidRPr="009A77CF" w:rsidRDefault="00A323AB" w:rsidP="009A77CF">
      <w:pPr>
        <w:pStyle w:val="Heading5"/>
        <w:rPr>
          <w:rFonts w:ascii="Arial" w:eastAsia="Times New Roman" w:hAnsi="Arial" w:cs="Arial"/>
          <w:b/>
          <w:bCs/>
          <w:color w:val="auto"/>
        </w:rPr>
      </w:pPr>
      <w:r w:rsidRPr="009A77CF">
        <w:rPr>
          <w:rFonts w:ascii="Arial" w:eastAsia="Times New Roman" w:hAnsi="Arial" w:cs="Arial"/>
          <w:b/>
          <w:bCs/>
          <w:color w:val="auto"/>
        </w:rPr>
        <w:t>Manipulation or Dexterity Impairment—Orthopedic or Neurological</w:t>
      </w:r>
    </w:p>
    <w:p w14:paraId="1548668C" w14:textId="322C616A" w:rsidR="00A323AB" w:rsidRDefault="00A323AB" w:rsidP="00A323AB">
      <w:pPr>
        <w:numPr>
          <w:ilvl w:val="0"/>
          <w:numId w:val="27"/>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Orthopedic or neurological conditions that affect manipulation or dexterity.</w:t>
      </w:r>
    </w:p>
    <w:p w14:paraId="6BA1F560" w14:textId="77777777" w:rsidR="006F5BAA" w:rsidRPr="00A323AB" w:rsidRDefault="006F5BAA" w:rsidP="006F5BAA">
      <w:pPr>
        <w:shd w:val="clear" w:color="auto" w:fill="FFFFFF"/>
        <w:spacing w:before="0" w:beforeAutospacing="0" w:after="0" w:afterAutospacing="0" w:line="293" w:lineRule="atLeast"/>
        <w:ind w:left="1080" w:right="360"/>
        <w:rPr>
          <w:rFonts w:eastAsia="Times New Roman" w:cs="Arial"/>
          <w:color w:val="000000"/>
          <w:szCs w:val="24"/>
        </w:rPr>
      </w:pPr>
    </w:p>
    <w:p w14:paraId="1592CE8C" w14:textId="77777777" w:rsidR="00A323AB" w:rsidRPr="009A77CF" w:rsidRDefault="00A323AB" w:rsidP="009A77CF">
      <w:pPr>
        <w:pStyle w:val="Heading5"/>
        <w:rPr>
          <w:rFonts w:ascii="Arial" w:eastAsia="Times New Roman" w:hAnsi="Arial" w:cs="Arial"/>
          <w:b/>
          <w:bCs/>
          <w:color w:val="auto"/>
        </w:rPr>
      </w:pPr>
      <w:r w:rsidRPr="009A77CF">
        <w:rPr>
          <w:rFonts w:ascii="Arial" w:eastAsia="Times New Roman" w:hAnsi="Arial" w:cs="Arial"/>
          <w:b/>
          <w:bCs/>
          <w:color w:val="auto"/>
        </w:rPr>
        <w:t>Both Mobility and Manipulation-Dexterity Impairment—Orthopedic or Neurological</w:t>
      </w:r>
    </w:p>
    <w:p w14:paraId="3C0A817D" w14:textId="3F4F43DC" w:rsidR="00A323AB" w:rsidRDefault="00A323AB" w:rsidP="00A323AB">
      <w:pPr>
        <w:numPr>
          <w:ilvl w:val="0"/>
          <w:numId w:val="28"/>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Orthopedic or neurological conditions that affect both mobility and manipulation and/or dexterity.</w:t>
      </w:r>
    </w:p>
    <w:p w14:paraId="5EEB1C9F" w14:textId="77777777" w:rsidR="006F5BAA" w:rsidRPr="00A323AB" w:rsidRDefault="006F5BAA" w:rsidP="006F5BAA">
      <w:pPr>
        <w:shd w:val="clear" w:color="auto" w:fill="FFFFFF"/>
        <w:spacing w:before="0" w:beforeAutospacing="0" w:after="0" w:afterAutospacing="0" w:line="293" w:lineRule="atLeast"/>
        <w:ind w:left="1080" w:right="360"/>
        <w:rPr>
          <w:rFonts w:eastAsia="Times New Roman" w:cs="Arial"/>
          <w:color w:val="000000"/>
          <w:szCs w:val="24"/>
        </w:rPr>
      </w:pPr>
    </w:p>
    <w:p w14:paraId="7A166DD3" w14:textId="77777777" w:rsidR="00A323AB" w:rsidRPr="009A77CF" w:rsidRDefault="00A323AB" w:rsidP="009A77CF">
      <w:pPr>
        <w:pStyle w:val="Heading5"/>
        <w:rPr>
          <w:rFonts w:ascii="Arial" w:eastAsia="Times New Roman" w:hAnsi="Arial" w:cs="Arial"/>
          <w:b/>
          <w:bCs/>
          <w:color w:val="auto"/>
        </w:rPr>
      </w:pPr>
      <w:r w:rsidRPr="009A77CF">
        <w:rPr>
          <w:rFonts w:ascii="Arial" w:eastAsia="Times New Roman" w:hAnsi="Arial" w:cs="Arial"/>
          <w:b/>
          <w:bCs/>
          <w:color w:val="auto"/>
        </w:rPr>
        <w:t>Other Orthopedic Impairments</w:t>
      </w:r>
    </w:p>
    <w:p w14:paraId="49803A8D" w14:textId="77777777" w:rsidR="00A323AB" w:rsidRPr="00A323AB" w:rsidRDefault="00A323AB" w:rsidP="00A323AB">
      <w:pPr>
        <w:shd w:val="clear" w:color="auto" w:fill="FFFFFF"/>
        <w:spacing w:before="0" w:beforeAutospacing="0" w:after="360" w:afterAutospacing="0" w:line="293" w:lineRule="atLeast"/>
        <w:rPr>
          <w:rFonts w:eastAsia="Times New Roman" w:cs="Arial"/>
          <w:color w:val="000000"/>
          <w:szCs w:val="24"/>
        </w:rPr>
      </w:pPr>
      <w:r w:rsidRPr="00A323AB">
        <w:rPr>
          <w:rFonts w:eastAsia="Times New Roman" w:cs="Arial"/>
          <w:color w:val="000000"/>
          <w:szCs w:val="24"/>
        </w:rPr>
        <w:t xml:space="preserve">For example, seriously limited range of motion requiring accommodations beyond that of an average </w:t>
      </w:r>
      <w:proofErr w:type="gramStart"/>
      <w:r w:rsidRPr="00A323AB">
        <w:rPr>
          <w:rFonts w:eastAsia="Times New Roman" w:cs="Arial"/>
          <w:color w:val="000000"/>
          <w:szCs w:val="24"/>
        </w:rPr>
        <w:t>similarly-situated</w:t>
      </w:r>
      <w:proofErr w:type="gramEnd"/>
      <w:r w:rsidRPr="00A323AB">
        <w:rPr>
          <w:rFonts w:eastAsia="Times New Roman" w:cs="Arial"/>
          <w:color w:val="000000"/>
          <w:szCs w:val="24"/>
        </w:rPr>
        <w:t xml:space="preserve"> person</w:t>
      </w:r>
    </w:p>
    <w:p w14:paraId="575319A6" w14:textId="7CB5E776" w:rsidR="00A323AB" w:rsidRDefault="00A323AB" w:rsidP="00A323AB">
      <w:pPr>
        <w:numPr>
          <w:ilvl w:val="0"/>
          <w:numId w:val="29"/>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Limitations caused by other orthopedic impairment</w:t>
      </w:r>
    </w:p>
    <w:p w14:paraId="697D82B1" w14:textId="77777777" w:rsidR="006F5BAA" w:rsidRPr="00A323AB" w:rsidRDefault="006F5BAA" w:rsidP="006F5BAA">
      <w:pPr>
        <w:shd w:val="clear" w:color="auto" w:fill="FFFFFF"/>
        <w:spacing w:before="0" w:beforeAutospacing="0" w:after="0" w:afterAutospacing="0" w:line="293" w:lineRule="atLeast"/>
        <w:ind w:left="1080" w:right="360"/>
        <w:rPr>
          <w:rFonts w:eastAsia="Times New Roman" w:cs="Arial"/>
          <w:color w:val="000000"/>
          <w:szCs w:val="24"/>
        </w:rPr>
      </w:pPr>
    </w:p>
    <w:p w14:paraId="2A0BDAC2" w14:textId="77777777" w:rsidR="00A323AB" w:rsidRPr="006535C4" w:rsidRDefault="00A323AB" w:rsidP="006535C4">
      <w:pPr>
        <w:pStyle w:val="Heading5"/>
        <w:rPr>
          <w:rFonts w:ascii="Arial" w:eastAsia="Times New Roman" w:hAnsi="Arial" w:cs="Arial"/>
          <w:b/>
          <w:bCs/>
          <w:color w:val="auto"/>
        </w:rPr>
      </w:pPr>
      <w:r w:rsidRPr="006535C4">
        <w:rPr>
          <w:rFonts w:ascii="Arial" w:eastAsia="Times New Roman" w:hAnsi="Arial" w:cs="Arial"/>
          <w:b/>
          <w:bCs/>
          <w:color w:val="auto"/>
        </w:rPr>
        <w:t>Respiratory Impairments</w:t>
      </w:r>
    </w:p>
    <w:p w14:paraId="23D41C12" w14:textId="0F0B9EA4" w:rsidR="00A323AB" w:rsidRDefault="00A323AB" w:rsidP="00A323AB">
      <w:pPr>
        <w:numPr>
          <w:ilvl w:val="0"/>
          <w:numId w:val="30"/>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Impairment resulting in reduced breathing capacity.</w:t>
      </w:r>
    </w:p>
    <w:p w14:paraId="4BD1A0FD" w14:textId="77777777" w:rsidR="006F5BAA" w:rsidRPr="00A323AB" w:rsidRDefault="006F5BAA" w:rsidP="006F5BAA">
      <w:pPr>
        <w:shd w:val="clear" w:color="auto" w:fill="FFFFFF"/>
        <w:spacing w:before="0" w:beforeAutospacing="0" w:after="0" w:afterAutospacing="0" w:line="293" w:lineRule="atLeast"/>
        <w:ind w:left="1080" w:right="360"/>
        <w:rPr>
          <w:rFonts w:eastAsia="Times New Roman" w:cs="Arial"/>
          <w:color w:val="000000"/>
          <w:szCs w:val="24"/>
        </w:rPr>
      </w:pPr>
    </w:p>
    <w:p w14:paraId="1B459EFB" w14:textId="77777777" w:rsidR="00A323AB" w:rsidRPr="006535C4" w:rsidRDefault="00A323AB" w:rsidP="006535C4">
      <w:pPr>
        <w:pStyle w:val="Heading5"/>
        <w:rPr>
          <w:rFonts w:ascii="Arial" w:eastAsia="Times New Roman" w:hAnsi="Arial" w:cs="Arial"/>
          <w:b/>
          <w:bCs/>
          <w:color w:val="auto"/>
        </w:rPr>
      </w:pPr>
      <w:r w:rsidRPr="006535C4">
        <w:rPr>
          <w:rFonts w:ascii="Arial" w:eastAsia="Times New Roman" w:hAnsi="Arial" w:cs="Arial"/>
          <w:b/>
          <w:bCs/>
          <w:color w:val="auto"/>
        </w:rPr>
        <w:t>General Physical Debilitation</w:t>
      </w:r>
    </w:p>
    <w:p w14:paraId="58F0BEC0" w14:textId="1B13E7A7" w:rsidR="00A323AB" w:rsidRPr="00A323AB" w:rsidDel="0002228D" w:rsidRDefault="00A323AB" w:rsidP="00A323AB">
      <w:pPr>
        <w:shd w:val="clear" w:color="auto" w:fill="FFFFFF"/>
        <w:spacing w:before="0" w:beforeAutospacing="0" w:after="360" w:afterAutospacing="0" w:line="293" w:lineRule="atLeast"/>
        <w:rPr>
          <w:del w:id="18" w:author="Author"/>
          <w:rFonts w:eastAsia="Times New Roman" w:cs="Arial"/>
          <w:color w:val="000000"/>
          <w:szCs w:val="24"/>
        </w:rPr>
      </w:pPr>
      <w:del w:id="19" w:author="Author">
        <w:r w:rsidRPr="00A323AB" w:rsidDel="0002228D">
          <w:rPr>
            <w:rFonts w:eastAsia="Times New Roman" w:cs="Arial"/>
            <w:color w:val="000000"/>
            <w:szCs w:val="24"/>
          </w:rPr>
          <w:delText>For example, fatigue, weakness, pain.</w:delText>
        </w:r>
      </w:del>
    </w:p>
    <w:p w14:paraId="26D2B51A" w14:textId="33E2C993" w:rsidR="00A323AB" w:rsidRDefault="0002228D" w:rsidP="00A323AB">
      <w:pPr>
        <w:numPr>
          <w:ilvl w:val="0"/>
          <w:numId w:val="31"/>
        </w:numPr>
        <w:shd w:val="clear" w:color="auto" w:fill="FFFFFF"/>
        <w:spacing w:before="0" w:beforeAutospacing="0" w:after="0" w:afterAutospacing="0" w:line="293" w:lineRule="atLeast"/>
        <w:ind w:left="1080" w:right="360"/>
        <w:rPr>
          <w:rFonts w:eastAsia="Times New Roman" w:cs="Arial"/>
          <w:color w:val="000000"/>
          <w:szCs w:val="24"/>
        </w:rPr>
      </w:pPr>
      <w:ins w:id="20" w:author="Author">
        <w:r w:rsidRPr="0002228D">
          <w:rPr>
            <w:rFonts w:eastAsia="Times New Roman" w:cs="Arial"/>
            <w:color w:val="000000"/>
            <w:szCs w:val="24"/>
          </w:rPr>
          <w:t>A physical condition that results in a reduced capacity to work (For example, fatigue, weakness, pain.).</w:t>
        </w:r>
      </w:ins>
      <w:del w:id="21" w:author="Author">
        <w:r w:rsidR="00A323AB" w:rsidRPr="00A323AB" w:rsidDel="0002228D">
          <w:rPr>
            <w:rFonts w:eastAsia="Times New Roman" w:cs="Arial"/>
            <w:color w:val="000000"/>
            <w:szCs w:val="24"/>
          </w:rPr>
          <w:delText>A physical condition that results in a reduced capacity to work.</w:delText>
        </w:r>
      </w:del>
    </w:p>
    <w:p w14:paraId="33622A78" w14:textId="77777777" w:rsidR="006F5BAA" w:rsidRPr="00A323AB" w:rsidRDefault="006F5BAA" w:rsidP="006F5BAA">
      <w:pPr>
        <w:shd w:val="clear" w:color="auto" w:fill="FFFFFF"/>
        <w:spacing w:before="0" w:beforeAutospacing="0" w:after="0" w:afterAutospacing="0" w:line="293" w:lineRule="atLeast"/>
        <w:ind w:left="1080" w:right="360"/>
        <w:rPr>
          <w:rFonts w:eastAsia="Times New Roman" w:cs="Arial"/>
          <w:color w:val="000000"/>
          <w:szCs w:val="24"/>
        </w:rPr>
      </w:pPr>
    </w:p>
    <w:p w14:paraId="7C7A68C1" w14:textId="77777777" w:rsidR="00A323AB" w:rsidRPr="006535C4" w:rsidRDefault="00A323AB" w:rsidP="006535C4">
      <w:pPr>
        <w:pStyle w:val="Heading5"/>
        <w:rPr>
          <w:rFonts w:ascii="Arial" w:eastAsia="Times New Roman" w:hAnsi="Arial" w:cs="Arial"/>
          <w:b/>
          <w:bCs/>
          <w:color w:val="auto"/>
        </w:rPr>
      </w:pPr>
      <w:r w:rsidRPr="006535C4">
        <w:rPr>
          <w:rFonts w:ascii="Arial" w:eastAsia="Times New Roman" w:hAnsi="Arial" w:cs="Arial"/>
          <w:b/>
          <w:bCs/>
          <w:color w:val="auto"/>
        </w:rPr>
        <w:t>Other Physical Impairments (not listed above)</w:t>
      </w:r>
    </w:p>
    <w:p w14:paraId="7F11AACC" w14:textId="77777777" w:rsidR="00A323AB" w:rsidRPr="00A323AB" w:rsidRDefault="00A323AB" w:rsidP="006F5BAA">
      <w:pPr>
        <w:pStyle w:val="Heading4"/>
        <w:rPr>
          <w:rFonts w:eastAsia="Times New Roman"/>
        </w:rPr>
      </w:pPr>
      <w:r w:rsidRPr="00A323AB">
        <w:rPr>
          <w:rFonts w:eastAsia="Times New Roman"/>
        </w:rPr>
        <w:t>Mental Impairments</w:t>
      </w:r>
    </w:p>
    <w:p w14:paraId="63D24985" w14:textId="77777777" w:rsidR="00A323AB" w:rsidRPr="00DA0999" w:rsidRDefault="00A323AB" w:rsidP="00DA0999">
      <w:pPr>
        <w:pStyle w:val="Heading5"/>
        <w:rPr>
          <w:rFonts w:ascii="Arial" w:eastAsia="Times New Roman" w:hAnsi="Arial" w:cs="Arial"/>
          <w:b/>
          <w:bCs/>
          <w:color w:val="auto"/>
        </w:rPr>
      </w:pPr>
      <w:r w:rsidRPr="00DA0999">
        <w:rPr>
          <w:rFonts w:ascii="Arial" w:eastAsia="Times New Roman" w:hAnsi="Arial" w:cs="Arial"/>
          <w:b/>
          <w:bCs/>
          <w:color w:val="auto"/>
        </w:rPr>
        <w:t>Cognitive Impairments</w:t>
      </w:r>
    </w:p>
    <w:p w14:paraId="155B656F" w14:textId="58041C3A" w:rsidR="00A323AB" w:rsidRDefault="00A323AB" w:rsidP="00A323AB">
      <w:pPr>
        <w:numPr>
          <w:ilvl w:val="0"/>
          <w:numId w:val="32"/>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Involves learning, thinking, processing information, and concentration.</w:t>
      </w:r>
    </w:p>
    <w:p w14:paraId="30BBC6B8" w14:textId="77777777" w:rsidR="006F5BAA" w:rsidRPr="00A323AB" w:rsidRDefault="006F5BAA" w:rsidP="006F5BAA">
      <w:pPr>
        <w:shd w:val="clear" w:color="auto" w:fill="FFFFFF"/>
        <w:spacing w:before="0" w:beforeAutospacing="0" w:after="0" w:afterAutospacing="0" w:line="293" w:lineRule="atLeast"/>
        <w:ind w:left="1080" w:right="360"/>
        <w:rPr>
          <w:rFonts w:eastAsia="Times New Roman" w:cs="Arial"/>
          <w:color w:val="000000"/>
          <w:szCs w:val="24"/>
        </w:rPr>
      </w:pPr>
    </w:p>
    <w:p w14:paraId="6E4F1F4D" w14:textId="77777777" w:rsidR="00A323AB" w:rsidRPr="00DA0999" w:rsidRDefault="00A323AB" w:rsidP="00DA0999">
      <w:pPr>
        <w:pStyle w:val="Heading5"/>
        <w:rPr>
          <w:rFonts w:ascii="Arial" w:eastAsia="Times New Roman" w:hAnsi="Arial" w:cs="Arial"/>
          <w:b/>
          <w:bCs/>
          <w:color w:val="auto"/>
        </w:rPr>
      </w:pPr>
      <w:r w:rsidRPr="00DA0999">
        <w:rPr>
          <w:rFonts w:ascii="Arial" w:eastAsia="Times New Roman" w:hAnsi="Arial" w:cs="Arial"/>
          <w:b/>
          <w:bCs/>
          <w:color w:val="auto"/>
        </w:rPr>
        <w:t>Psychosocial Impairments</w:t>
      </w:r>
    </w:p>
    <w:p w14:paraId="6C70ADDA" w14:textId="77777777" w:rsidR="00A323AB" w:rsidRPr="00A323AB" w:rsidRDefault="00A323AB" w:rsidP="00A323AB">
      <w:pPr>
        <w:numPr>
          <w:ilvl w:val="0"/>
          <w:numId w:val="33"/>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Interpersonal and behavioral impairment, difficulty coping</w:t>
      </w:r>
    </w:p>
    <w:p w14:paraId="39CA7F27" w14:textId="77777777" w:rsidR="00A323AB" w:rsidRDefault="00A323AB" w:rsidP="00A323AB">
      <w:pPr>
        <w:numPr>
          <w:ilvl w:val="0"/>
          <w:numId w:val="33"/>
        </w:numPr>
        <w:shd w:val="clear" w:color="auto" w:fill="FFFFFF"/>
        <w:spacing w:before="0" w:beforeAutospacing="0" w:after="0" w:afterAutospacing="0" w:line="293" w:lineRule="atLeast"/>
        <w:ind w:left="1080" w:right="360"/>
        <w:rPr>
          <w:rFonts w:eastAsia="Times New Roman" w:cs="Arial"/>
          <w:color w:val="000000"/>
          <w:szCs w:val="24"/>
        </w:rPr>
      </w:pPr>
      <w:r w:rsidRPr="00A323AB">
        <w:rPr>
          <w:rFonts w:eastAsia="Times New Roman" w:cs="Arial"/>
          <w:color w:val="000000"/>
          <w:szCs w:val="24"/>
        </w:rPr>
        <w:t>A mental condition that affects both psychological and social functioning.</w:t>
      </w:r>
    </w:p>
    <w:p w14:paraId="47938A9B" w14:textId="77777777" w:rsidR="00E27E3A" w:rsidRPr="00A323AB" w:rsidRDefault="00E27E3A" w:rsidP="00E27E3A">
      <w:pPr>
        <w:shd w:val="clear" w:color="auto" w:fill="FFFFFF"/>
        <w:spacing w:before="0" w:beforeAutospacing="0" w:after="0" w:afterAutospacing="0" w:line="293" w:lineRule="atLeast"/>
        <w:ind w:left="1080" w:right="360"/>
        <w:rPr>
          <w:rFonts w:eastAsia="Times New Roman" w:cs="Arial"/>
          <w:color w:val="000000"/>
          <w:szCs w:val="24"/>
        </w:rPr>
      </w:pPr>
    </w:p>
    <w:p w14:paraId="287CD7DB" w14:textId="77CD9877" w:rsidR="00A323AB" w:rsidRPr="00C81360" w:rsidRDefault="00A323AB" w:rsidP="00C81360">
      <w:pPr>
        <w:pStyle w:val="Heading5"/>
        <w:rPr>
          <w:rFonts w:ascii="Arial" w:eastAsia="Times New Roman" w:hAnsi="Arial" w:cs="Arial"/>
          <w:b/>
          <w:bCs/>
          <w:color w:val="auto"/>
        </w:rPr>
      </w:pPr>
      <w:r w:rsidRPr="00C81360">
        <w:rPr>
          <w:rFonts w:ascii="Arial" w:eastAsia="Times New Roman" w:hAnsi="Arial" w:cs="Arial"/>
          <w:b/>
          <w:bCs/>
          <w:color w:val="auto"/>
        </w:rPr>
        <w:t>Other Mental Impairments (not listed above)</w:t>
      </w:r>
    </w:p>
    <w:p w14:paraId="6716768A" w14:textId="77777777" w:rsidR="00CD4A13" w:rsidRPr="00C81360" w:rsidRDefault="00CD4A13" w:rsidP="006D626B">
      <w:pPr>
        <w:pStyle w:val="Heading4"/>
        <w:rPr>
          <w:ins w:id="22" w:author="Author"/>
        </w:rPr>
      </w:pPr>
      <w:ins w:id="23" w:author="Author">
        <w:r w:rsidRPr="00C81360">
          <w:t>Long COVID</w:t>
        </w:r>
      </w:ins>
    </w:p>
    <w:p w14:paraId="63CE8810" w14:textId="07126FD4" w:rsidR="00CD4A13" w:rsidRDefault="00CD4A13" w:rsidP="00CD4A13">
      <w:pPr>
        <w:rPr>
          <w:ins w:id="24" w:author="Author"/>
        </w:rPr>
      </w:pPr>
      <w:ins w:id="25" w:author="Author">
        <w:r>
          <w:t xml:space="preserve">Long </w:t>
        </w:r>
        <w:r w:rsidRPr="006F5BAA">
          <w:t>COVID</w:t>
        </w:r>
        <w:r w:rsidR="00F5761E">
          <w:t xml:space="preserve"> (Post</w:t>
        </w:r>
        <w:r w:rsidR="00EE5270">
          <w:t>-</w:t>
        </w:r>
        <w:del w:id="26" w:author="Author">
          <w:r w:rsidR="00F5761E" w:rsidDel="00EE5270">
            <w:delText xml:space="preserve"> </w:delText>
          </w:r>
        </w:del>
        <w:r w:rsidR="00F5761E">
          <w:t>COVID)</w:t>
        </w:r>
        <w:r w:rsidRPr="006F5BAA">
          <w:t xml:space="preserve"> </w:t>
        </w:r>
        <w:r>
          <w:t>c</w:t>
        </w:r>
        <w:r w:rsidRPr="006F5BAA">
          <w:t>onditions are a wide range of new, returning, or ongoing health problems that people experience after being infected with the virus that causes COVID-19.</w:t>
        </w:r>
      </w:ins>
    </w:p>
    <w:p w14:paraId="0546B84A" w14:textId="3E3F6D54" w:rsidR="00CD4A13" w:rsidRDefault="00CD4A13" w:rsidP="00CD4A13">
      <w:pPr>
        <w:rPr>
          <w:ins w:id="27" w:author="Author"/>
        </w:rPr>
      </w:pPr>
      <w:ins w:id="28" w:author="Author">
        <w:r>
          <w:t>If a customer has a documented diagnosis of Long COVID, VR staff indicate</w:t>
        </w:r>
        <w:r w:rsidR="00C57E8C">
          <w:t>s</w:t>
        </w:r>
        <w:r>
          <w:t xml:space="preserve"> the diagnosis </w:t>
        </w:r>
        <w:r w:rsidR="00636459">
          <w:t>in</w:t>
        </w:r>
        <w:r w:rsidR="00B140D9">
          <w:t xml:space="preserve"> </w:t>
        </w:r>
        <w:r w:rsidR="00301BC3">
          <w:t xml:space="preserve">the </w:t>
        </w:r>
        <w:r w:rsidR="00C57E8C">
          <w:t>Long Covid Impact field</w:t>
        </w:r>
        <w:r>
          <w:t xml:space="preserve"> on the RHW Disability page. </w:t>
        </w:r>
      </w:ins>
    </w:p>
    <w:p w14:paraId="44BF79FA" w14:textId="44FDB3BD" w:rsidR="00CD4A13" w:rsidRPr="006F5BAA" w:rsidRDefault="00CD4A13" w:rsidP="006F5BAA">
      <w:r>
        <w:t>…</w:t>
      </w:r>
    </w:p>
    <w:sectPr w:rsidR="00CD4A13" w:rsidRPr="006F5BAA" w:rsidSect="00BC4717">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65C6" w14:textId="77777777" w:rsidR="006D1907" w:rsidRDefault="006D1907" w:rsidP="00BC4717">
      <w:pPr>
        <w:spacing w:before="0" w:after="0"/>
      </w:pPr>
      <w:r>
        <w:separator/>
      </w:r>
    </w:p>
  </w:endnote>
  <w:endnote w:type="continuationSeparator" w:id="0">
    <w:p w14:paraId="287E6737" w14:textId="77777777" w:rsidR="006D1907" w:rsidRDefault="006D1907" w:rsidP="00BC4717">
      <w:pPr>
        <w:spacing w:before="0" w:after="0"/>
      </w:pPr>
      <w:r>
        <w:continuationSeparator/>
      </w:r>
    </w:p>
  </w:endnote>
  <w:endnote w:type="continuationNotice" w:id="1">
    <w:p w14:paraId="4E9D5D9E" w14:textId="77777777" w:rsidR="00FB0CAA" w:rsidRDefault="00FB0C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769911"/>
      <w:docPartObj>
        <w:docPartGallery w:val="Page Numbers (Bottom of Page)"/>
        <w:docPartUnique/>
      </w:docPartObj>
    </w:sdtPr>
    <w:sdtEndPr/>
    <w:sdtContent>
      <w:sdt>
        <w:sdtPr>
          <w:id w:val="-1769616900"/>
          <w:docPartObj>
            <w:docPartGallery w:val="Page Numbers (Top of Page)"/>
            <w:docPartUnique/>
          </w:docPartObj>
        </w:sdtPr>
        <w:sdtEndPr/>
        <w:sdtContent>
          <w:p w14:paraId="43F896A3" w14:textId="4F7F96B7" w:rsidR="00BC4717" w:rsidRPr="00BC4717" w:rsidRDefault="00BC4717">
            <w:pPr>
              <w:pStyle w:val="Footer"/>
              <w:jc w:val="right"/>
            </w:pPr>
            <w:r w:rsidRPr="00BC4717">
              <w:t xml:space="preserve">Page </w:t>
            </w:r>
            <w:r w:rsidRPr="00BC4717">
              <w:rPr>
                <w:szCs w:val="24"/>
              </w:rPr>
              <w:fldChar w:fldCharType="begin"/>
            </w:r>
            <w:r w:rsidRPr="00BC4717">
              <w:instrText xml:space="preserve"> PAGE </w:instrText>
            </w:r>
            <w:r w:rsidRPr="00BC4717">
              <w:rPr>
                <w:szCs w:val="24"/>
              </w:rPr>
              <w:fldChar w:fldCharType="separate"/>
            </w:r>
            <w:r w:rsidRPr="00BC4717">
              <w:rPr>
                <w:noProof/>
              </w:rPr>
              <w:t>2</w:t>
            </w:r>
            <w:r w:rsidRPr="00BC4717">
              <w:rPr>
                <w:szCs w:val="24"/>
              </w:rPr>
              <w:fldChar w:fldCharType="end"/>
            </w:r>
            <w:r w:rsidRPr="00BC4717">
              <w:t xml:space="preserve"> of </w:t>
            </w:r>
            <w:r w:rsidR="00D971E1">
              <w:fldChar w:fldCharType="begin"/>
            </w:r>
            <w:r w:rsidR="00D971E1">
              <w:instrText xml:space="preserve"> NUMPAGES  </w:instrText>
            </w:r>
            <w:r w:rsidR="00D971E1">
              <w:fldChar w:fldCharType="separate"/>
            </w:r>
            <w:r w:rsidRPr="00BC4717">
              <w:rPr>
                <w:noProof/>
              </w:rPr>
              <w:t>2</w:t>
            </w:r>
            <w:r w:rsidR="00D971E1">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B9EE" w14:textId="77777777" w:rsidR="006D1907" w:rsidRDefault="006D1907" w:rsidP="00BC4717">
      <w:pPr>
        <w:spacing w:before="0" w:after="0"/>
      </w:pPr>
      <w:r>
        <w:separator/>
      </w:r>
    </w:p>
  </w:footnote>
  <w:footnote w:type="continuationSeparator" w:id="0">
    <w:p w14:paraId="37A5641A" w14:textId="77777777" w:rsidR="006D1907" w:rsidRDefault="006D1907" w:rsidP="00BC4717">
      <w:pPr>
        <w:spacing w:before="0" w:after="0"/>
      </w:pPr>
      <w:r>
        <w:continuationSeparator/>
      </w:r>
    </w:p>
  </w:footnote>
  <w:footnote w:type="continuationNotice" w:id="1">
    <w:p w14:paraId="3BECA174" w14:textId="77777777" w:rsidR="00FB0CAA" w:rsidRDefault="00FB0CA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5B3"/>
    <w:multiLevelType w:val="multilevel"/>
    <w:tmpl w:val="5768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66326"/>
    <w:multiLevelType w:val="multilevel"/>
    <w:tmpl w:val="F724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B5ECF"/>
    <w:multiLevelType w:val="multilevel"/>
    <w:tmpl w:val="E6028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916179"/>
    <w:multiLevelType w:val="hybridMultilevel"/>
    <w:tmpl w:val="540C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526D9"/>
    <w:multiLevelType w:val="multilevel"/>
    <w:tmpl w:val="1E40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63D31"/>
    <w:multiLevelType w:val="multilevel"/>
    <w:tmpl w:val="9768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77694C"/>
    <w:multiLevelType w:val="multilevel"/>
    <w:tmpl w:val="A2AE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563729"/>
    <w:multiLevelType w:val="multilevel"/>
    <w:tmpl w:val="CB7E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F600DC"/>
    <w:multiLevelType w:val="multilevel"/>
    <w:tmpl w:val="6C7E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177AEB"/>
    <w:multiLevelType w:val="multilevel"/>
    <w:tmpl w:val="D298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3F0AB8"/>
    <w:multiLevelType w:val="multilevel"/>
    <w:tmpl w:val="D454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CD5B17"/>
    <w:multiLevelType w:val="multilevel"/>
    <w:tmpl w:val="88B2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85604"/>
    <w:multiLevelType w:val="multilevel"/>
    <w:tmpl w:val="1B4E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0B06B4"/>
    <w:multiLevelType w:val="multilevel"/>
    <w:tmpl w:val="9732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040AD4"/>
    <w:multiLevelType w:val="multilevel"/>
    <w:tmpl w:val="1058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E70489"/>
    <w:multiLevelType w:val="multilevel"/>
    <w:tmpl w:val="4AFE4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F72C5E"/>
    <w:multiLevelType w:val="multilevel"/>
    <w:tmpl w:val="BCE4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135739"/>
    <w:multiLevelType w:val="multilevel"/>
    <w:tmpl w:val="D36E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33511A"/>
    <w:multiLevelType w:val="multilevel"/>
    <w:tmpl w:val="3A0072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E23344"/>
    <w:multiLevelType w:val="multilevel"/>
    <w:tmpl w:val="D3B6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136555"/>
    <w:multiLevelType w:val="multilevel"/>
    <w:tmpl w:val="637C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7F295B"/>
    <w:multiLevelType w:val="multilevel"/>
    <w:tmpl w:val="6EBE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B92BF9"/>
    <w:multiLevelType w:val="multilevel"/>
    <w:tmpl w:val="4FE8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3144CD"/>
    <w:multiLevelType w:val="multilevel"/>
    <w:tmpl w:val="818A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C945D7"/>
    <w:multiLevelType w:val="multilevel"/>
    <w:tmpl w:val="2042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5971C8"/>
    <w:multiLevelType w:val="multilevel"/>
    <w:tmpl w:val="CE8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346A29"/>
    <w:multiLevelType w:val="multilevel"/>
    <w:tmpl w:val="CCB2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E6706B"/>
    <w:multiLevelType w:val="multilevel"/>
    <w:tmpl w:val="1C1A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6B6E80"/>
    <w:multiLevelType w:val="multilevel"/>
    <w:tmpl w:val="D326F9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D46513"/>
    <w:multiLevelType w:val="multilevel"/>
    <w:tmpl w:val="BD08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7E1A70"/>
    <w:multiLevelType w:val="multilevel"/>
    <w:tmpl w:val="0612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D94D43"/>
    <w:multiLevelType w:val="multilevel"/>
    <w:tmpl w:val="9ECE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846D42"/>
    <w:multiLevelType w:val="multilevel"/>
    <w:tmpl w:val="77C40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E20895"/>
    <w:multiLevelType w:val="multilevel"/>
    <w:tmpl w:val="E20EF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4968434">
    <w:abstractNumId w:val="28"/>
  </w:num>
  <w:num w:numId="2" w16cid:durableId="84234637">
    <w:abstractNumId w:val="1"/>
  </w:num>
  <w:num w:numId="3" w16cid:durableId="125129195">
    <w:abstractNumId w:val="3"/>
  </w:num>
  <w:num w:numId="4" w16cid:durableId="1990280866">
    <w:abstractNumId w:val="20"/>
  </w:num>
  <w:num w:numId="5" w16cid:durableId="611135247">
    <w:abstractNumId w:val="25"/>
  </w:num>
  <w:num w:numId="6" w16cid:durableId="243347538">
    <w:abstractNumId w:val="26"/>
  </w:num>
  <w:num w:numId="7" w16cid:durableId="1727683697">
    <w:abstractNumId w:val="21"/>
  </w:num>
  <w:num w:numId="8" w16cid:durableId="576520852">
    <w:abstractNumId w:val="29"/>
  </w:num>
  <w:num w:numId="9" w16cid:durableId="624383731">
    <w:abstractNumId w:val="32"/>
  </w:num>
  <w:num w:numId="10" w16cid:durableId="2121728036">
    <w:abstractNumId w:val="0"/>
  </w:num>
  <w:num w:numId="11" w16cid:durableId="289670682">
    <w:abstractNumId w:val="12"/>
  </w:num>
  <w:num w:numId="12" w16cid:durableId="1147434218">
    <w:abstractNumId w:val="13"/>
  </w:num>
  <w:num w:numId="13" w16cid:durableId="2032756300">
    <w:abstractNumId w:val="7"/>
  </w:num>
  <w:num w:numId="14" w16cid:durableId="1319265480">
    <w:abstractNumId w:val="4"/>
  </w:num>
  <w:num w:numId="15" w16cid:durableId="563374401">
    <w:abstractNumId w:val="16"/>
  </w:num>
  <w:num w:numId="16" w16cid:durableId="860357394">
    <w:abstractNumId w:val="8"/>
  </w:num>
  <w:num w:numId="17" w16cid:durableId="1895116633">
    <w:abstractNumId w:val="18"/>
  </w:num>
  <w:num w:numId="18" w16cid:durableId="442848027">
    <w:abstractNumId w:val="10"/>
  </w:num>
  <w:num w:numId="19" w16cid:durableId="1813477153">
    <w:abstractNumId w:val="19"/>
  </w:num>
  <w:num w:numId="20" w16cid:durableId="76632815">
    <w:abstractNumId w:val="27"/>
  </w:num>
  <w:num w:numId="21" w16cid:durableId="1483932673">
    <w:abstractNumId w:val="15"/>
  </w:num>
  <w:num w:numId="22" w16cid:durableId="1257055351">
    <w:abstractNumId w:val="14"/>
  </w:num>
  <w:num w:numId="23" w16cid:durableId="614169097">
    <w:abstractNumId w:val="33"/>
  </w:num>
  <w:num w:numId="24" w16cid:durableId="239757457">
    <w:abstractNumId w:val="11"/>
  </w:num>
  <w:num w:numId="25" w16cid:durableId="1645426459">
    <w:abstractNumId w:val="2"/>
  </w:num>
  <w:num w:numId="26" w16cid:durableId="1305701673">
    <w:abstractNumId w:val="6"/>
  </w:num>
  <w:num w:numId="27" w16cid:durableId="490565465">
    <w:abstractNumId w:val="9"/>
  </w:num>
  <w:num w:numId="28" w16cid:durableId="1727407485">
    <w:abstractNumId w:val="30"/>
  </w:num>
  <w:num w:numId="29" w16cid:durableId="1732968756">
    <w:abstractNumId w:val="5"/>
  </w:num>
  <w:num w:numId="30" w16cid:durableId="1326936080">
    <w:abstractNumId w:val="23"/>
  </w:num>
  <w:num w:numId="31" w16cid:durableId="1462190023">
    <w:abstractNumId w:val="31"/>
  </w:num>
  <w:num w:numId="32" w16cid:durableId="2105567086">
    <w:abstractNumId w:val="22"/>
  </w:num>
  <w:num w:numId="33" w16cid:durableId="582642522">
    <w:abstractNumId w:val="24"/>
  </w:num>
  <w:num w:numId="34" w16cid:durableId="5715444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78"/>
    <w:rsid w:val="0002228D"/>
    <w:rsid w:val="00022DF7"/>
    <w:rsid w:val="00067E9A"/>
    <w:rsid w:val="000A66F2"/>
    <w:rsid w:val="000A686D"/>
    <w:rsid w:val="000F5B0E"/>
    <w:rsid w:val="00113ACE"/>
    <w:rsid w:val="00121C1C"/>
    <w:rsid w:val="00123E3A"/>
    <w:rsid w:val="00137846"/>
    <w:rsid w:val="00145398"/>
    <w:rsid w:val="00185FF4"/>
    <w:rsid w:val="00196D45"/>
    <w:rsid w:val="001B728C"/>
    <w:rsid w:val="00232AF8"/>
    <w:rsid w:val="00281C1F"/>
    <w:rsid w:val="00294FAD"/>
    <w:rsid w:val="00301590"/>
    <w:rsid w:val="00301BC3"/>
    <w:rsid w:val="00313643"/>
    <w:rsid w:val="0033786D"/>
    <w:rsid w:val="00357DCF"/>
    <w:rsid w:val="0037497E"/>
    <w:rsid w:val="00375973"/>
    <w:rsid w:val="00377189"/>
    <w:rsid w:val="003C3070"/>
    <w:rsid w:val="003D4E0A"/>
    <w:rsid w:val="00410395"/>
    <w:rsid w:val="00412359"/>
    <w:rsid w:val="004A270D"/>
    <w:rsid w:val="004B4CAF"/>
    <w:rsid w:val="004E55F3"/>
    <w:rsid w:val="004F3DFF"/>
    <w:rsid w:val="00522CCC"/>
    <w:rsid w:val="00525D61"/>
    <w:rsid w:val="00542652"/>
    <w:rsid w:val="00572FA9"/>
    <w:rsid w:val="00605E9A"/>
    <w:rsid w:val="00636459"/>
    <w:rsid w:val="006403F9"/>
    <w:rsid w:val="006535C4"/>
    <w:rsid w:val="006D1907"/>
    <w:rsid w:val="006D626B"/>
    <w:rsid w:val="006F5BAA"/>
    <w:rsid w:val="007237BD"/>
    <w:rsid w:val="00804B85"/>
    <w:rsid w:val="00837F18"/>
    <w:rsid w:val="0084547A"/>
    <w:rsid w:val="0086664A"/>
    <w:rsid w:val="008B6642"/>
    <w:rsid w:val="00905468"/>
    <w:rsid w:val="00964D6A"/>
    <w:rsid w:val="009A77CF"/>
    <w:rsid w:val="009D3BC0"/>
    <w:rsid w:val="00A323AB"/>
    <w:rsid w:val="00A8433A"/>
    <w:rsid w:val="00AD0887"/>
    <w:rsid w:val="00AD158F"/>
    <w:rsid w:val="00AE6C4F"/>
    <w:rsid w:val="00AE7D1F"/>
    <w:rsid w:val="00B140D9"/>
    <w:rsid w:val="00B209B3"/>
    <w:rsid w:val="00B3157E"/>
    <w:rsid w:val="00B750D2"/>
    <w:rsid w:val="00B80810"/>
    <w:rsid w:val="00B87867"/>
    <w:rsid w:val="00BC4717"/>
    <w:rsid w:val="00C57E8C"/>
    <w:rsid w:val="00C66B8C"/>
    <w:rsid w:val="00C81360"/>
    <w:rsid w:val="00C86060"/>
    <w:rsid w:val="00C95F2A"/>
    <w:rsid w:val="00CA4AF3"/>
    <w:rsid w:val="00CD4A13"/>
    <w:rsid w:val="00D17E9F"/>
    <w:rsid w:val="00D47C9C"/>
    <w:rsid w:val="00D8105D"/>
    <w:rsid w:val="00D9568E"/>
    <w:rsid w:val="00D971E1"/>
    <w:rsid w:val="00DA0999"/>
    <w:rsid w:val="00DA1BF5"/>
    <w:rsid w:val="00E27E3A"/>
    <w:rsid w:val="00E46E91"/>
    <w:rsid w:val="00E63478"/>
    <w:rsid w:val="00EE5270"/>
    <w:rsid w:val="00F51C75"/>
    <w:rsid w:val="00F5761E"/>
    <w:rsid w:val="00F61D81"/>
    <w:rsid w:val="00FB0CAA"/>
    <w:rsid w:val="00FE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759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17"/>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BC4717"/>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C4717"/>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BC471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6F5BAA"/>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4A270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717"/>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BC4717"/>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BC4717"/>
    <w:rPr>
      <w:rFonts w:ascii="Arial" w:eastAsiaTheme="majorEastAsia" w:hAnsi="Arial" w:cstheme="majorBidi"/>
      <w:b/>
      <w:sz w:val="28"/>
      <w:szCs w:val="24"/>
    </w:rPr>
  </w:style>
  <w:style w:type="paragraph" w:styleId="Header">
    <w:name w:val="header"/>
    <w:basedOn w:val="Normal"/>
    <w:link w:val="HeaderChar"/>
    <w:uiPriority w:val="99"/>
    <w:unhideWhenUsed/>
    <w:rsid w:val="00BC4717"/>
    <w:pPr>
      <w:tabs>
        <w:tab w:val="center" w:pos="4680"/>
        <w:tab w:val="right" w:pos="9360"/>
      </w:tabs>
      <w:spacing w:before="0" w:after="0"/>
    </w:pPr>
  </w:style>
  <w:style w:type="character" w:customStyle="1" w:styleId="HeaderChar">
    <w:name w:val="Header Char"/>
    <w:basedOn w:val="DefaultParagraphFont"/>
    <w:link w:val="Header"/>
    <w:uiPriority w:val="99"/>
    <w:rsid w:val="00BC4717"/>
    <w:rPr>
      <w:rFonts w:ascii="Arial" w:hAnsi="Arial"/>
      <w:sz w:val="24"/>
    </w:rPr>
  </w:style>
  <w:style w:type="paragraph" w:styleId="Footer">
    <w:name w:val="footer"/>
    <w:basedOn w:val="Normal"/>
    <w:link w:val="FooterChar"/>
    <w:uiPriority w:val="99"/>
    <w:unhideWhenUsed/>
    <w:rsid w:val="00BC4717"/>
    <w:pPr>
      <w:tabs>
        <w:tab w:val="center" w:pos="4680"/>
        <w:tab w:val="right" w:pos="9360"/>
      </w:tabs>
      <w:spacing w:before="0" w:after="0"/>
    </w:pPr>
  </w:style>
  <w:style w:type="character" w:customStyle="1" w:styleId="FooterChar">
    <w:name w:val="Footer Char"/>
    <w:basedOn w:val="DefaultParagraphFont"/>
    <w:link w:val="Footer"/>
    <w:uiPriority w:val="99"/>
    <w:rsid w:val="00BC4717"/>
    <w:rPr>
      <w:rFonts w:ascii="Arial" w:hAnsi="Arial"/>
      <w:sz w:val="24"/>
    </w:rPr>
  </w:style>
  <w:style w:type="paragraph" w:styleId="ListParagraph">
    <w:name w:val="List Paragraph"/>
    <w:basedOn w:val="Normal"/>
    <w:uiPriority w:val="34"/>
    <w:qFormat/>
    <w:rsid w:val="00FE44A3"/>
    <w:pPr>
      <w:ind w:left="720"/>
      <w:contextualSpacing/>
    </w:pPr>
  </w:style>
  <w:style w:type="paragraph" w:styleId="BalloonText">
    <w:name w:val="Balloon Text"/>
    <w:basedOn w:val="Normal"/>
    <w:link w:val="BalloonTextChar"/>
    <w:uiPriority w:val="99"/>
    <w:semiHidden/>
    <w:unhideWhenUsed/>
    <w:rsid w:val="00FE44A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A3"/>
    <w:rPr>
      <w:rFonts w:ascii="Segoe UI" w:hAnsi="Segoe UI" w:cs="Segoe UI"/>
      <w:sz w:val="18"/>
      <w:szCs w:val="18"/>
    </w:rPr>
  </w:style>
  <w:style w:type="paragraph" w:styleId="Revision">
    <w:name w:val="Revision"/>
    <w:hidden/>
    <w:uiPriority w:val="99"/>
    <w:semiHidden/>
    <w:rsid w:val="00A323AB"/>
    <w:pPr>
      <w:spacing w:after="0" w:line="240" w:lineRule="auto"/>
    </w:pPr>
    <w:rPr>
      <w:rFonts w:ascii="Arial" w:hAnsi="Arial"/>
      <w:sz w:val="24"/>
    </w:rPr>
  </w:style>
  <w:style w:type="character" w:customStyle="1" w:styleId="Heading4Char">
    <w:name w:val="Heading 4 Char"/>
    <w:basedOn w:val="DefaultParagraphFont"/>
    <w:link w:val="Heading4"/>
    <w:uiPriority w:val="9"/>
    <w:rsid w:val="006F5BAA"/>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4A270D"/>
    <w:rPr>
      <w:rFonts w:asciiTheme="majorHAnsi" w:eastAsiaTheme="majorEastAsia" w:hAnsiTheme="majorHAnsi" w:cstheme="majorBidi"/>
      <w:color w:val="365F91" w:themeColor="accent1" w:themeShade="BF"/>
      <w:sz w:val="24"/>
    </w:rPr>
  </w:style>
  <w:style w:type="character" w:styleId="CommentReference">
    <w:name w:val="annotation reference"/>
    <w:basedOn w:val="DefaultParagraphFont"/>
    <w:uiPriority w:val="99"/>
    <w:semiHidden/>
    <w:unhideWhenUsed/>
    <w:rsid w:val="00D17E9F"/>
    <w:rPr>
      <w:sz w:val="16"/>
      <w:szCs w:val="16"/>
    </w:rPr>
  </w:style>
  <w:style w:type="paragraph" w:styleId="CommentText">
    <w:name w:val="annotation text"/>
    <w:basedOn w:val="Normal"/>
    <w:link w:val="CommentTextChar"/>
    <w:uiPriority w:val="99"/>
    <w:semiHidden/>
    <w:unhideWhenUsed/>
    <w:rsid w:val="00D17E9F"/>
    <w:rPr>
      <w:sz w:val="20"/>
      <w:szCs w:val="20"/>
    </w:rPr>
  </w:style>
  <w:style w:type="character" w:customStyle="1" w:styleId="CommentTextChar">
    <w:name w:val="Comment Text Char"/>
    <w:basedOn w:val="DefaultParagraphFont"/>
    <w:link w:val="CommentText"/>
    <w:uiPriority w:val="99"/>
    <w:semiHidden/>
    <w:rsid w:val="00D17E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7E9F"/>
    <w:rPr>
      <w:b/>
      <w:bCs/>
    </w:rPr>
  </w:style>
  <w:style w:type="character" w:customStyle="1" w:styleId="CommentSubjectChar">
    <w:name w:val="Comment Subject Char"/>
    <w:basedOn w:val="CommentTextChar"/>
    <w:link w:val="CommentSubject"/>
    <w:uiPriority w:val="99"/>
    <w:semiHidden/>
    <w:rsid w:val="00D17E9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73823">
      <w:bodyDiv w:val="1"/>
      <w:marLeft w:val="0"/>
      <w:marRight w:val="0"/>
      <w:marTop w:val="0"/>
      <w:marBottom w:val="0"/>
      <w:divBdr>
        <w:top w:val="none" w:sz="0" w:space="0" w:color="auto"/>
        <w:left w:val="none" w:sz="0" w:space="0" w:color="auto"/>
        <w:bottom w:val="none" w:sz="0" w:space="0" w:color="auto"/>
        <w:right w:val="none" w:sz="0" w:space="0" w:color="auto"/>
      </w:divBdr>
      <w:divsChild>
        <w:div w:id="546992380">
          <w:marLeft w:val="0"/>
          <w:marRight w:val="0"/>
          <w:marTop w:val="0"/>
          <w:marBottom w:val="0"/>
          <w:divBdr>
            <w:top w:val="none" w:sz="0" w:space="0" w:color="auto"/>
            <w:left w:val="none" w:sz="0" w:space="0" w:color="auto"/>
            <w:bottom w:val="none" w:sz="0" w:space="0" w:color="auto"/>
            <w:right w:val="none" w:sz="0" w:space="0" w:color="auto"/>
          </w:divBdr>
          <w:divsChild>
            <w:div w:id="533730630">
              <w:marLeft w:val="0"/>
              <w:marRight w:val="0"/>
              <w:marTop w:val="0"/>
              <w:marBottom w:val="0"/>
              <w:divBdr>
                <w:top w:val="none" w:sz="0" w:space="0" w:color="auto"/>
                <w:left w:val="none" w:sz="0" w:space="0" w:color="auto"/>
                <w:bottom w:val="none" w:sz="0" w:space="0" w:color="auto"/>
                <w:right w:val="none" w:sz="0" w:space="0" w:color="auto"/>
              </w:divBdr>
              <w:divsChild>
                <w:div w:id="1558932291">
                  <w:marLeft w:val="0"/>
                  <w:marRight w:val="0"/>
                  <w:marTop w:val="0"/>
                  <w:marBottom w:val="0"/>
                  <w:divBdr>
                    <w:top w:val="none" w:sz="0" w:space="0" w:color="auto"/>
                    <w:left w:val="none" w:sz="0" w:space="0" w:color="auto"/>
                    <w:bottom w:val="none" w:sz="0" w:space="0" w:color="auto"/>
                    <w:right w:val="none" w:sz="0" w:space="0" w:color="auto"/>
                  </w:divBdr>
                  <w:divsChild>
                    <w:div w:id="1406145369">
                      <w:marLeft w:val="0"/>
                      <w:marRight w:val="0"/>
                      <w:marTop w:val="0"/>
                      <w:marBottom w:val="0"/>
                      <w:divBdr>
                        <w:top w:val="none" w:sz="0" w:space="0" w:color="auto"/>
                        <w:left w:val="none" w:sz="0" w:space="0" w:color="auto"/>
                        <w:bottom w:val="none" w:sz="0" w:space="0" w:color="auto"/>
                        <w:right w:val="none" w:sz="0" w:space="0" w:color="auto"/>
                      </w:divBdr>
                      <w:divsChild>
                        <w:div w:id="1082339177">
                          <w:marLeft w:val="0"/>
                          <w:marRight w:val="0"/>
                          <w:marTop w:val="0"/>
                          <w:marBottom w:val="0"/>
                          <w:divBdr>
                            <w:top w:val="none" w:sz="0" w:space="0" w:color="auto"/>
                            <w:left w:val="none" w:sz="0" w:space="0" w:color="auto"/>
                            <w:bottom w:val="none" w:sz="0" w:space="0" w:color="auto"/>
                            <w:right w:val="none" w:sz="0" w:space="0" w:color="auto"/>
                          </w:divBdr>
                          <w:divsChild>
                            <w:div w:id="1388383865">
                              <w:marLeft w:val="0"/>
                              <w:marRight w:val="0"/>
                              <w:marTop w:val="0"/>
                              <w:marBottom w:val="0"/>
                              <w:divBdr>
                                <w:top w:val="none" w:sz="0" w:space="0" w:color="auto"/>
                                <w:left w:val="none" w:sz="0" w:space="0" w:color="auto"/>
                                <w:bottom w:val="none" w:sz="0" w:space="0" w:color="auto"/>
                                <w:right w:val="none" w:sz="0" w:space="0" w:color="auto"/>
                              </w:divBdr>
                              <w:divsChild>
                                <w:div w:id="180820856">
                                  <w:marLeft w:val="0"/>
                                  <w:marRight w:val="0"/>
                                  <w:marTop w:val="0"/>
                                  <w:marBottom w:val="0"/>
                                  <w:divBdr>
                                    <w:top w:val="none" w:sz="0" w:space="0" w:color="auto"/>
                                    <w:left w:val="none" w:sz="0" w:space="0" w:color="auto"/>
                                    <w:bottom w:val="none" w:sz="0" w:space="0" w:color="auto"/>
                                    <w:right w:val="none" w:sz="0" w:space="0" w:color="auto"/>
                                  </w:divBdr>
                                  <w:divsChild>
                                    <w:div w:id="461316235">
                                      <w:marLeft w:val="0"/>
                                      <w:marRight w:val="0"/>
                                      <w:marTop w:val="0"/>
                                      <w:marBottom w:val="0"/>
                                      <w:divBdr>
                                        <w:top w:val="none" w:sz="0" w:space="0" w:color="auto"/>
                                        <w:left w:val="none" w:sz="0" w:space="0" w:color="auto"/>
                                        <w:bottom w:val="none" w:sz="0" w:space="0" w:color="auto"/>
                                        <w:right w:val="none" w:sz="0" w:space="0" w:color="auto"/>
                                      </w:divBdr>
                                      <w:divsChild>
                                        <w:div w:id="1149781631">
                                          <w:marLeft w:val="0"/>
                                          <w:marRight w:val="0"/>
                                          <w:marTop w:val="0"/>
                                          <w:marBottom w:val="0"/>
                                          <w:divBdr>
                                            <w:top w:val="none" w:sz="0" w:space="0" w:color="auto"/>
                                            <w:left w:val="none" w:sz="0" w:space="0" w:color="auto"/>
                                            <w:bottom w:val="none" w:sz="0" w:space="0" w:color="auto"/>
                                            <w:right w:val="none" w:sz="0" w:space="0" w:color="auto"/>
                                          </w:divBdr>
                                          <w:divsChild>
                                            <w:div w:id="450705437">
                                              <w:marLeft w:val="0"/>
                                              <w:marRight w:val="0"/>
                                              <w:marTop w:val="0"/>
                                              <w:marBottom w:val="0"/>
                                              <w:divBdr>
                                                <w:top w:val="none" w:sz="0" w:space="0" w:color="auto"/>
                                                <w:left w:val="none" w:sz="0" w:space="0" w:color="auto"/>
                                                <w:bottom w:val="none" w:sz="0" w:space="0" w:color="auto"/>
                                                <w:right w:val="none" w:sz="0" w:space="0" w:color="auto"/>
                                              </w:divBdr>
                                              <w:divsChild>
                                                <w:div w:id="48310599">
                                                  <w:marLeft w:val="0"/>
                                                  <w:marRight w:val="0"/>
                                                  <w:marTop w:val="0"/>
                                                  <w:marBottom w:val="0"/>
                                                  <w:divBdr>
                                                    <w:top w:val="none" w:sz="0" w:space="0" w:color="auto"/>
                                                    <w:left w:val="none" w:sz="0" w:space="0" w:color="auto"/>
                                                    <w:bottom w:val="none" w:sz="0" w:space="0" w:color="auto"/>
                                                    <w:right w:val="none" w:sz="0" w:space="0" w:color="auto"/>
                                                  </w:divBdr>
                                                  <w:divsChild>
                                                    <w:div w:id="399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016968">
      <w:bodyDiv w:val="1"/>
      <w:marLeft w:val="0"/>
      <w:marRight w:val="0"/>
      <w:marTop w:val="0"/>
      <w:marBottom w:val="0"/>
      <w:divBdr>
        <w:top w:val="none" w:sz="0" w:space="0" w:color="auto"/>
        <w:left w:val="none" w:sz="0" w:space="0" w:color="auto"/>
        <w:bottom w:val="none" w:sz="0" w:space="0" w:color="auto"/>
        <w:right w:val="none" w:sz="0" w:space="0" w:color="auto"/>
      </w:divBdr>
      <w:divsChild>
        <w:div w:id="1742633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wc.texas.gov/vr-services-manual/vrsm-b-30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Billy staged 6/20/2023</CheckedOut>
    <Assignedto xmlns="6bfde61a-94c1-42db-b4d1-79e5b3c6adc0">
      <UserInfo>
        <DisplayName/>
        <AccountId xsi:nil="true"/>
        <AccountType/>
      </UserInfo>
    </Assignedto>
    <Comments xmlns="6bfde61a-94c1-42db-b4d1-79e5b3c6adc0">Revised to add information related to Long Covid. </Comments>
  </documentManagement>
</p:properties>
</file>

<file path=customXml/itemProps1.xml><?xml version="1.0" encoding="utf-8"?>
<ds:datastoreItem xmlns:ds="http://schemas.openxmlformats.org/officeDocument/2006/customXml" ds:itemID="{BF5E6B9C-726D-4522-A1CA-0E3C2FA26B27}">
  <ds:schemaRefs>
    <ds:schemaRef ds:uri="http://schemas.microsoft.com/sharepoint/v3/contenttype/forms"/>
  </ds:schemaRefs>
</ds:datastoreItem>
</file>

<file path=customXml/itemProps2.xml><?xml version="1.0" encoding="utf-8"?>
<ds:datastoreItem xmlns:ds="http://schemas.openxmlformats.org/officeDocument/2006/customXml" ds:itemID="{47D68CE1-2B79-4383-A60F-A6BAA8F68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2D247-D6C9-4C0B-BBE5-673FC24CE3ED}">
  <ds:schemaRefs>
    <ds:schemaRef ds:uri="http://schemas.microsoft.com/office/2006/documentManagement/types"/>
    <ds:schemaRef ds:uri="http://schemas.microsoft.com/office/2006/metadata/properties"/>
    <ds:schemaRef ds:uri="http://purl.org/dc/elements/1.1/"/>
    <ds:schemaRef ds:uri="041c5daf-9d3a-4e9a-b660-f4ef0b4e5805"/>
    <ds:schemaRef ds:uri="http://schemas.openxmlformats.org/package/2006/metadata/core-properties"/>
    <ds:schemaRef ds:uri="http://schemas.microsoft.com/office/infopath/2007/PartnerControls"/>
    <ds:schemaRef ds:uri="http://purl.org/dc/dcmitype/"/>
    <ds:schemaRef ds:uri="http://purl.org/dc/terms/"/>
    <ds:schemaRef ds:uri="58825e9e-cc90-40c0-979d-f08666619410"/>
    <ds:schemaRef ds:uri="6bfde61a-94c1-42db-b4d1-79e5b3c6ad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VRSM B-300: Determining Eligibility revised October 1, 2020</vt:lpstr>
    </vt:vector>
  </TitlesOfParts>
  <Company/>
  <LinksUpToDate>false</LinksUpToDate>
  <CharactersWithSpaces>7433</CharactersWithSpaces>
  <SharedDoc>false</SharedDoc>
  <HLinks>
    <vt:vector size="12" baseType="variant">
      <vt:variant>
        <vt:i4>458781</vt:i4>
      </vt:variant>
      <vt:variant>
        <vt:i4>3</vt:i4>
      </vt:variant>
      <vt:variant>
        <vt:i4>0</vt:i4>
      </vt:variant>
      <vt:variant>
        <vt:i4>5</vt:i4>
      </vt:variant>
      <vt:variant>
        <vt:lpwstr>https://twc.texas.gov/vr-services-manual/vrsm-b-300</vt:lpwstr>
      </vt:variant>
      <vt:variant>
        <vt:lpwstr>b308-1</vt:lpwstr>
      </vt:variant>
      <vt:variant>
        <vt:i4>6750262</vt:i4>
      </vt:variant>
      <vt:variant>
        <vt:i4>0</vt:i4>
      </vt:variant>
      <vt:variant>
        <vt:i4>0</vt:i4>
      </vt:variant>
      <vt:variant>
        <vt:i4>5</vt:i4>
      </vt:variant>
      <vt:variant>
        <vt:lpwstr>https://intra.twc.texas.gov/intranet/manuals/rhwhelp/index.html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B-300: Determining Eligibility revised October 1, 2020</dc:title>
  <dc:subject/>
  <dc:creator/>
  <cp:keywords/>
  <dc:description/>
  <cp:lastModifiedBy/>
  <cp:revision>1</cp:revision>
  <dcterms:created xsi:type="dcterms:W3CDTF">2023-06-23T16:36:00Z</dcterms:created>
  <dcterms:modified xsi:type="dcterms:W3CDTF">2023-06-23T16:36:00Z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y fmtid="{D5CDD505-2E9C-101B-9397-08002B2CF9AE}" pid="3" name="MediaServiceImageTags">
    <vt:lpwstr/>
  </property>
</Properties>
</file>